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sz w:val="20"/>
          <w:szCs w:val="20"/>
        </w:rPr>
        <w:t xml:space="preserve"/>
      </w:r>
    </w:p>
    <w:p>
      <w:r>
        <w:rPr>
          <w:sz w:val="20"/>
          <w:szCs w:val="20"/>
        </w:rPr>
        <w:t xml:space="preserve"/>
      </w:r>
    </w:p>
    <w:p>
      <w:r>
        <w:rPr>
          <w:sz w:val="20"/>
          <w:szCs w:val="20"/>
        </w:rPr>
        <w:t xml:space="preserve"/>
      </w:r>
    </w:p>
    <w:p>
      <w:r>
        <w:rPr>
          <w:sz w:val="20"/>
          <w:szCs w:val="20"/>
        </w:rPr>
        <w:t xml:space="preserve"/>
      </w:r>
    </w:p>
    <w:p>
      <w:pPr>
        <w:spacing w:after="60" w:before="0"/>
        <w:jc w:val="center"/>
      </w:pPr>
      <w:r>
        <w:rPr>
          <w:rFonts w:ascii="Arial" w:cs="Arial" w:eastAsia="Arial" w:hAnsi="Arial"/>
          <w:b/>
          <w:bCs/>
          <w:color w:val="2D6BE4"/>
          <w:sz w:val="96"/>
          <w:szCs w:val="96"/>
        </w:rPr>
        <w:t xml:space="preserve">AIONE</w:t>
      </w:r>
    </w:p>
    <w:p>
      <w:pPr>
        <w:spacing w:after="80" w:before="0"/>
        <w:jc w:val="center"/>
      </w:pPr>
      <w:r>
        <w:rPr>
          <w:rFonts w:ascii="Arial" w:cs="Arial" w:eastAsia="Arial" w:hAnsi="Arial"/>
          <w:b/>
          <w:bCs/>
          <w:color w:val="1A2B6B"/>
          <w:sz w:val="64"/>
          <w:szCs w:val="64"/>
        </w:rPr>
        <w:t xml:space="preserve">TOKEN</w:t>
      </w:r>
    </w:p>
    <w:p>
      <w:pPr>
        <w:spacing w:after="160" w:before="0"/>
        <w:jc w:val="center"/>
      </w:pPr>
      <w:r>
        <w:rPr>
          <w:rFonts w:ascii="Arial" w:cs="Arial" w:eastAsia="Arial" w:hAnsi="Arial"/>
          <w:b w:val="false"/>
          <w:bCs w:val="false"/>
          <w:color w:val="6B7280"/>
          <w:sz w:val="32"/>
          <w:szCs w:val="32"/>
        </w:rPr>
        <w:t xml:space="preserve">W  H  I  T  E    P  A  P  E  R    2 . 0</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D6BE4" w:sz="1"/>
              <w:left w:val="single" w:color="2D6BE4" w:sz="1"/>
              <w:bottom w:val="single" w:color="2D6BE4" w:sz="1"/>
              <w:right w:val="single" w:color="2D6BE4" w:sz="1"/>
            </w:tcBorders>
            <w:shd w:fill="1A2B6B" w:val="clear"/>
            <w:tcMar>
              <w:top w:type="dxa" w:w="200"/>
              <w:left w:type="dxa" w:w="360"/>
              <w:bottom w:type="dxa" w:w="200"/>
              <w:right w:type="dxa" w:w="360"/>
            </w:tcMar>
          </w:tcPr>
          <w:p>
            <w:pPr>
              <w:spacing w:after="60" w:before="0"/>
              <w:jc w:val="center"/>
            </w:pPr>
            <w:r>
              <w:rPr>
                <w:rFonts w:ascii="Arial" w:cs="Arial" w:eastAsia="Arial" w:hAnsi="Arial"/>
                <w:b/>
                <w:bCs/>
                <w:color w:val="FFFFFF"/>
                <w:sz w:val="24"/>
                <w:szCs w:val="24"/>
              </w:rPr>
              <w:t xml:space="preserve">Proof of Usage 2.0  ·  Future-Forward Debt Economy</w:t>
            </w:r>
          </w:p>
          <w:p>
            <w:pPr>
              <w:spacing w:after="60" w:before="0"/>
              <w:jc w:val="center"/>
            </w:pPr>
            <w:r>
              <w:rPr>
                <w:rFonts w:ascii="Arial" w:cs="Arial" w:eastAsia="Arial" w:hAnsi="Arial"/>
                <w:color w:val="A0B4E8"/>
                <w:sz w:val="20"/>
                <w:szCs w:val="20"/>
              </w:rPr>
              <w:t xml:space="preserve">100% Subscription Cashback  ·  MMT-Grounded Token Issuance  ·  Mundell Triangle Staking</w:t>
            </w:r>
          </w:p>
          <w:p>
            <w:pPr>
              <w:spacing w:after="0" w:before="0"/>
              <w:jc w:val="center"/>
            </w:pPr>
            <w:r>
              <w:rPr>
                <w:rFonts w:ascii="Arial" w:cs="Arial" w:eastAsia="Arial" w:hAnsi="Arial"/>
                <w:i/>
                <w:iCs/>
                <w:color w:val="7090C8"/>
                <w:sz w:val="19"/>
                <w:szCs w:val="19"/>
              </w:rPr>
              <w:t xml:space="preserve">Based on 边界AI (ai1foo.com)  ·  Powered by OpenClaw Ecosystem</w:t>
            </w:r>
          </w:p>
        </w:tc>
      </w:tr>
    </w:tbl>
    <w:p>
      <w:r>
        <w:rPr>
          <w:sz w:val="20"/>
          <w:szCs w:val="20"/>
        </w:rPr>
        <w:t xml:space="preserve"/>
      </w:r>
    </w:p>
    <w:p>
      <w:pPr>
        <w:spacing w:after="40" w:before="60"/>
        <w:jc w:val="center"/>
      </w:pPr>
      <w:r>
        <w:rPr>
          <w:rFonts w:ascii="Arial" w:cs="Arial" w:eastAsia="Arial" w:hAnsi="Arial"/>
          <w:color w:val="6B7280"/>
          <w:sz w:val="21"/>
          <w:szCs w:val="21"/>
        </w:rPr>
        <w:t xml:space="preserve">Version 2.0   ·   April 2026</w:t>
      </w:r>
    </w:p>
    <w:p>
      <w:pPr>
        <w:spacing w:after="0" w:before="0"/>
        <w:jc w:val="center"/>
      </w:pPr>
      <w:r>
        <w:rPr>
          <w:rFonts w:ascii="Arial" w:cs="Arial" w:eastAsia="Arial" w:hAnsi="Arial"/>
          <w:b/>
          <w:bCs/>
          <w:color w:val="991B1B"/>
          <w:sz w:val="19"/>
          <w:szCs w:val="19"/>
        </w:rPr>
        <w:t xml:space="preserve">CONFIDENTIAL — FOR QUALIFIED INVESTORS ONLY</w:t>
      </w:r>
    </w:p>
    <w:p>
      <w:pPr>
        <w:pageBreakBefore/>
      </w:pPr>
      <w:r>
        <w:rPr>
          <w:sz w:val="22"/>
          <w:szCs w:val="22"/>
        </w:rPr>
        <w:t xml:space="preserve"/>
      </w:r>
    </w:p>
    <w:p>
      <w:pPr>
        <w:pStyle w:val="Heading1"/>
        <w:pBdr>
          <w:bottom w:val="single" w:color="2D6BE4" w:sz="8" w:space="4"/>
        </w:pBdr>
        <w:spacing w:after="200" w:before="480"/>
      </w:pPr>
      <w:r>
        <w:rPr>
          <w:rFonts w:ascii="Arial" w:cs="Arial" w:eastAsia="Arial" w:hAnsi="Arial"/>
          <w:b/>
          <w:bCs/>
          <w:color w:val="1A2B6B"/>
          <w:sz w:val="36"/>
          <w:szCs w:val="36"/>
        </w:rPr>
        <w:t xml:space="preserve">Legal Disclaimer</w:t>
      </w:r>
    </w:p>
    <w:p>
      <w:pPr>
        <w:spacing w:after="80" w:before="60"/>
      </w:pPr>
      <w:r>
        <w:rPr>
          <w:rFonts w:ascii="Arial" w:cs="Arial" w:eastAsia="Arial" w:hAnsi="Arial"/>
          <w:color w:val="0A0F1E"/>
          <w:sz w:val="22"/>
          <w:szCs w:val="22"/>
        </w:rPr>
        <w:t xml:space="preserve">This White Paper is published for informational purposes only and does not constitute an offer or solicitation of securities or investment advice in any jurisdiction. The AIONE Token is a utility token designed to power the AIONE Platform ecosystem.</w:t>
      </w:r>
    </w:p>
    <w:p>
      <w:pPr>
        <w:spacing w:after="80" w:before="60"/>
      </w:pPr>
      <w:r>
        <w:rPr>
          <w:rFonts w:ascii="Arial" w:cs="Arial" w:eastAsia="Arial" w:hAnsi="Arial"/>
          <w:color w:val="0A0F1E"/>
          <w:sz w:val="22"/>
          <w:szCs w:val="22"/>
        </w:rPr>
        <w:t xml:space="preserve">This document may contain forward-looking statements subject to material risks and uncertainties. Prospective participants must conduct independent due diligence and consult qualified legal, financial, and tax counsel before participating in any token sale or staking activity.</w:t>
      </w:r>
    </w:p>
    <w:p>
      <w:pPr>
        <w:spacing w:after="80" w:before="60"/>
      </w:pPr>
      <w:r>
        <w:rPr>
          <w:rFonts w:ascii="Arial" w:cs="Arial" w:eastAsia="Arial" w:hAnsi="Arial"/>
          <w:color w:val="0A0F1E"/>
          <w:sz w:val="22"/>
          <w:szCs w:val="22"/>
        </w:rPr>
        <w:t xml:space="preserve">The regulatory classification of cryptographic tokens is unsettled across many jurisdictions. Availability may be restricted in the United States and other jurisdictions without applicable exemptions. Token value is not guaranteed and may decline to zero.</w:t>
      </w:r>
    </w:p>
    <w:p>
      <w:r>
        <w:rPr>
          <w:sz w:val="20"/>
          <w:szCs w:val="20"/>
        </w:rPr>
        <w:t xml:space="preserve"/>
      </w:r>
    </w:p>
    <w:p>
      <w:pPr>
        <w:pStyle w:val="Heading1"/>
        <w:pBdr>
          <w:bottom w:val="single" w:color="2D6BE4" w:sz="8" w:space="4"/>
        </w:pBdr>
        <w:spacing w:after="200" w:before="480"/>
      </w:pPr>
      <w:r>
        <w:rPr>
          <w:rFonts w:ascii="Arial" w:cs="Arial" w:eastAsia="Arial" w:hAnsi="Arial"/>
          <w:b/>
          <w:bCs/>
          <w:color w:val="1A2B6B"/>
          <w:sz w:val="36"/>
          <w:szCs w:val="36"/>
        </w:rPr>
        <w:t xml:space="preserve">1. Executive Summary — v2.0 Upgrade</w:t>
      </w:r>
    </w:p>
    <w:p>
      <w:pPr>
        <w:spacing w:after="80" w:before="60"/>
      </w:pPr>
      <w:r>
        <w:rPr>
          <w:rFonts w:ascii="Arial" w:cs="Arial" w:eastAsia="Arial" w:hAnsi="Arial"/>
          <w:color w:val="0A0F1E"/>
          <w:sz w:val="22"/>
          <w:szCs w:val="22"/>
        </w:rPr>
        <w:t xml:space="preserve">AIONE v2.0 is a next-generation multimodal AI super-platform and decentralised token economy built on a radically upgraded economic architecture. Where v1.0 introduced Proof of Usage (PoU) as a mining primitive, v2.0 fuses three sovereign economic doctrines into a single, self-reinforcing token flywheel:</w:t>
      </w:r>
    </w:p>
    <w:p>
      <w:r>
        <w:rPr>
          <w:sz w:val="20"/>
          <w:szCs w:val="20"/>
        </w:rPr>
        <w:t xml:space="preserve"/>
      </w:r>
    </w:p>
    <w:p>
      <w:pPr>
        <w:pStyle w:val="ListParagraph"/>
        <w:numPr>
          <w:ilvl w:val="0"/>
          <w:numId w:val="2"/>
        </w:numPr>
        <w:spacing w:after="40" w:before="40"/>
      </w:pPr>
      <w:r>
        <w:rPr>
          <w:rFonts w:ascii="Arial" w:cs="Arial" w:eastAsia="Arial" w:hAnsi="Arial"/>
          <w:color w:val="0A0F1E"/>
          <w:sz w:val="21"/>
          <w:szCs w:val="21"/>
        </w:rPr>
        <w:t xml:space="preserve">100% Subscription Cashback Protocol — every dollar paid in subscription returns 100% equivalent value in AIONE tokens at the prevailing market price, transforming cost into yield</w:t>
      </w:r>
    </w:p>
    <w:p>
      <w:pPr>
        <w:pStyle w:val="ListParagraph"/>
        <w:numPr>
          <w:ilvl w:val="0"/>
          <w:numId w:val="2"/>
        </w:numPr>
        <w:spacing w:after="40" w:before="40"/>
      </w:pPr>
      <w:r>
        <w:rPr>
          <w:rFonts w:ascii="Arial" w:cs="Arial" w:eastAsia="Arial" w:hAnsi="Arial"/>
          <w:color w:val="0A0F1E"/>
          <w:sz w:val="21"/>
          <w:szCs w:val="21"/>
        </w:rPr>
        <w:t xml:space="preserve">Future-Forward Debt Economy (FFDE) — subscription commitments function as on-chain Mining Debt Certificates, allowing the platform to issue tokens today backed by verified future revenue, mirroring sovereign MMT mechanics</w:t>
      </w:r>
    </w:p>
    <w:p>
      <w:pPr>
        <w:pStyle w:val="ListParagraph"/>
        <w:numPr>
          <w:ilvl w:val="0"/>
          <w:numId w:val="2"/>
        </w:numPr>
        <w:spacing w:after="40" w:before="40"/>
      </w:pPr>
      <w:r>
        <w:rPr>
          <w:rFonts w:ascii="Arial" w:cs="Arial" w:eastAsia="Arial" w:hAnsi="Arial"/>
          <w:color w:val="0A0F1E"/>
          <w:sz w:val="21"/>
          <w:szCs w:val="21"/>
        </w:rPr>
        <w:t xml:space="preserve">Mundell Triangle Staking Architecture — staking and lock-up periods serve as capital controls, preserving both emission sovereignty and token price stability simultaneously</w:t>
      </w:r>
    </w:p>
    <w:p>
      <w:r>
        <w:rPr>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D6BE4" w:sz="1"/>
              <w:left w:val="single" w:color="2D6BE4" w:sz="1"/>
              <w:bottom w:val="single" w:color="2D6BE4" w:sz="1"/>
              <w:right w:val="single" w:color="2D6BE4" w:sz="1"/>
            </w:tcBorders>
            <w:shd w:fill="EFF3FB" w:val="clear"/>
            <w:tcMar>
              <w:top w:type="dxa" w:w="140"/>
              <w:left w:type="dxa" w:w="200"/>
              <w:bottom w:type="dxa" w:w="140"/>
              <w:right w:type="dxa" w:w="200"/>
            </w:tcMar>
          </w:tcPr>
          <w:p>
            <w:pPr>
              <w:spacing w:after="0" w:before="0"/>
            </w:pPr>
            <w:r>
              <w:rPr>
                <w:rFonts w:ascii="Arial" w:cs="Arial" w:eastAsia="Arial" w:hAnsi="Arial"/>
                <w:i/>
                <w:iCs/>
                <w:color w:val="1A2B6B"/>
                <w:sz w:val="21"/>
                <w:szCs w:val="21"/>
              </w:rPr>
              <w:t xml:space="preserve">The AIONE v2.0 economic model is explicitly designed around Modern Monetary Theory (MMT) and the Mundell–Fleming Impossible Trinity. Subscriptions are the economy's productive base; mining rewards are sovereign issuance; burns and staking are the monetary policy tools. The system runs a "debt-now, earn-now" flywheel that makes holding AIONE the highest-yield rational choice.</w:t>
            </w:r>
          </w:p>
        </w:tc>
      </w:tr>
    </w:tbl>
    <w:p>
      <w:r>
        <w:rPr>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2D6BE4" w:sz="1"/>
              <w:left w:val="single" w:color="2D6BE4" w:sz="1"/>
              <w:bottom w:val="single" w:color="2D6BE4" w:sz="1"/>
              <w:right w:val="single" w:color="2D6BE4" w:sz="1"/>
            </w:tcBorders>
            <w:shd w:fill="1A2B6B" w:val="clear"/>
            <w:tcMar>
              <w:top w:type="dxa" w:w="80"/>
              <w:left w:type="dxa" w:w="120"/>
              <w:bottom w:type="dxa" w:w="80"/>
              <w:right w:type="dxa" w:w="120"/>
            </w:tcMar>
            <w:vAlign w:val="center"/>
          </w:tcPr>
          <w:p>
            <w:pPr>
              <w:spacing w:after="0" w:before="0"/>
              <w:jc w:val="center"/>
            </w:pPr>
            <w:r>
              <w:rPr>
                <w:rFonts w:ascii="Arial" w:cs="Arial" w:eastAsia="Arial" w:hAnsi="Arial"/>
                <w:b/>
                <w:bCs/>
                <w:color w:val="FFFFFF"/>
                <w:sz w:val="19"/>
                <w:szCs w:val="19"/>
              </w:rPr>
              <w:t xml:space="preserve">Key Metric</w:t>
            </w:r>
          </w:p>
        </w:tc>
        <w:tc>
          <w:tcPr>
            <w:tcW w:type="dxa" w:w="4680"/>
            <w:tcBorders>
              <w:top w:val="single" w:color="2D6BE4" w:sz="1"/>
              <w:left w:val="single" w:color="2D6BE4" w:sz="1"/>
              <w:bottom w:val="single" w:color="2D6BE4" w:sz="1"/>
              <w:right w:val="single" w:color="2D6BE4" w:sz="1"/>
            </w:tcBorders>
            <w:shd w:fill="1A2B6B" w:val="clear"/>
            <w:tcMar>
              <w:top w:type="dxa" w:w="80"/>
              <w:left w:type="dxa" w:w="120"/>
              <w:bottom w:type="dxa" w:w="80"/>
              <w:right w:type="dxa" w:w="120"/>
            </w:tcMar>
            <w:vAlign w:val="center"/>
          </w:tcPr>
          <w:p>
            <w:pPr>
              <w:spacing w:after="0" w:before="0"/>
              <w:jc w:val="center"/>
            </w:pPr>
            <w:r>
              <w:rPr>
                <w:rFonts w:ascii="Arial" w:cs="Arial" w:eastAsia="Arial" w:hAnsi="Arial"/>
                <w:b/>
                <w:bCs/>
                <w:color w:val="FFFFFF"/>
                <w:sz w:val="19"/>
                <w:szCs w:val="19"/>
              </w:rPr>
              <w:t xml:space="preserve">Value</w:t>
            </w:r>
          </w:p>
        </w:tc>
      </w:tr>
      <w:tr>
        <w:tc>
          <w:tcPr>
            <w:tcW w:type="dxa" w:w="468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Total Supply</w:t>
            </w:r>
          </w:p>
        </w:tc>
        <w:tc>
          <w:tcPr>
            <w:tcW w:type="dxa" w:w="468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1,000,000,000 AIONE — Immutable Hard Cap</w:t>
            </w:r>
          </w:p>
        </w:tc>
      </w:tr>
      <w:tr>
        <w:tc>
          <w:tcPr>
            <w:tcW w:type="dxa" w:w="468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Ticker / Symbol</w:t>
            </w:r>
          </w:p>
        </w:tc>
        <w:tc>
          <w:tcPr>
            <w:tcW w:type="dxa" w:w="468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AIONE</w:t>
            </w:r>
          </w:p>
        </w:tc>
      </w:tr>
      <w:tr>
        <w:tc>
          <w:tcPr>
            <w:tcW w:type="dxa" w:w="468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Blockchain</w:t>
            </w:r>
          </w:p>
        </w:tc>
        <w:tc>
          <w:tcPr>
            <w:tcW w:type="dxa" w:w="468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BNB Chain (BEP-20) + Ethereum L2 bridge</w:t>
            </w:r>
          </w:p>
        </w:tc>
      </w:tr>
      <w:tr>
        <w:tc>
          <w:tcPr>
            <w:tcW w:type="dxa" w:w="468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Consensus Mechanism</w:t>
            </w:r>
          </w:p>
        </w:tc>
        <w:tc>
          <w:tcPr>
            <w:tcW w:type="dxa" w:w="468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Proof of Usage 2.0 (PoU²) — subscription-scaled, debt-driven mining</w:t>
            </w:r>
          </w:p>
        </w:tc>
      </w:tr>
      <w:tr>
        <w:tc>
          <w:tcPr>
            <w:tcW w:type="dxa" w:w="468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Mining Pool</w:t>
            </w:r>
          </w:p>
        </w:tc>
        <w:tc>
          <w:tcPr>
            <w:tcW w:type="dxa" w:w="468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800,000,000 AIONE (80% of supply)</w:t>
            </w:r>
          </w:p>
        </w:tc>
      </w:tr>
      <w:tr>
        <w:tc>
          <w:tcPr>
            <w:tcW w:type="dxa" w:w="468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Subscription Cashback</w:t>
            </w:r>
          </w:p>
        </w:tc>
        <w:tc>
          <w:tcPr>
            <w:tcW w:type="dxa" w:w="468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100% of subscription value returned in AIONE at market price</w:t>
            </w:r>
          </w:p>
        </w:tc>
      </w:tr>
      <w:tr>
        <w:tc>
          <w:tcPr>
            <w:tcW w:type="dxa" w:w="468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Mining Capacity Driver</w:t>
            </w:r>
          </w:p>
        </w:tc>
        <w:tc>
          <w:tcPr>
            <w:tcW w:type="dxa" w:w="468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Total active subscriptions scale the global daily emission ceiling</w:t>
            </w:r>
          </w:p>
        </w:tc>
      </w:tr>
      <w:tr>
        <w:tc>
          <w:tcPr>
            <w:tcW w:type="dxa" w:w="468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Future-Forward Debt Pool</w:t>
            </w:r>
          </w:p>
        </w:tc>
        <w:tc>
          <w:tcPr>
            <w:tcW w:type="dxa" w:w="468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200,000,000 AIONE reserved as Advance Mining Issuance (AMI)</w:t>
            </w:r>
          </w:p>
        </w:tc>
      </w:tr>
      <w:tr>
        <w:tc>
          <w:tcPr>
            <w:tcW w:type="dxa" w:w="468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Staking Lock Options</w:t>
            </w:r>
          </w:p>
        </w:tc>
        <w:tc>
          <w:tcPr>
            <w:tcW w:type="dxa" w:w="468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30 / 90 / 180 / 365-day lockups with amplified multipliers</w:t>
            </w:r>
          </w:p>
        </w:tc>
      </w:tr>
      <w:tr>
        <w:tc>
          <w:tcPr>
            <w:tcW w:type="dxa" w:w="468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Halving Schedule</w:t>
            </w:r>
          </w:p>
        </w:tc>
        <w:tc>
          <w:tcPr>
            <w:tcW w:type="dxa" w:w="468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Every 24 months · 4 halvings over 8 years</w:t>
            </w:r>
          </w:p>
        </w:tc>
      </w:tr>
      <w:tr>
        <w:tc>
          <w:tcPr>
            <w:tcW w:type="dxa" w:w="468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Target Exchange</w:t>
            </w:r>
          </w:p>
        </w:tc>
        <w:tc>
          <w:tcPr>
            <w:tcW w:type="dxa" w:w="468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Binance (via Launchpool pathway)</w:t>
            </w:r>
          </w:p>
        </w:tc>
      </w:tr>
    </w:tbl>
    <w:p>
      <w:r>
        <w:rPr>
          <w:sz w:val="20"/>
          <w:szCs w:val="20"/>
        </w:rPr>
        <w:t xml:space="preserve"/>
      </w:r>
    </w:p>
    <w:p>
      <w:pPr>
        <w:pStyle w:val="Heading1"/>
        <w:pBdr>
          <w:bottom w:val="single" w:color="2D6BE4" w:sz="8" w:space="4"/>
        </w:pBdr>
        <w:spacing w:after="200" w:before="480"/>
      </w:pPr>
      <w:r>
        <w:rPr>
          <w:rFonts w:ascii="Arial" w:cs="Arial" w:eastAsia="Arial" w:hAnsi="Arial"/>
          <w:b/>
          <w:bCs/>
          <w:color w:val="1A2B6B"/>
          <w:sz w:val="36"/>
          <w:szCs w:val="36"/>
        </w:rPr>
        <w:t xml:space="preserve">2. Platform Narrative &amp; The AIONE Ecosystem</w:t>
      </w:r>
    </w:p>
    <w:p>
      <w:pPr>
        <w:pStyle w:val="Heading2"/>
        <w:spacing w:after="120" w:before="320"/>
      </w:pPr>
      <w:r>
        <w:rPr>
          <w:rFonts w:ascii="Arial" w:cs="Arial" w:eastAsia="Arial" w:hAnsi="Arial"/>
          <w:b/>
          <w:bCs/>
          <w:color w:val="1A2B6B"/>
          <w:sz w:val="26"/>
          <w:szCs w:val="26"/>
        </w:rPr>
        <w:t xml:space="preserve">2.1  Origin: 边界AI (ai1foo.com)</w:t>
      </w:r>
    </w:p>
    <w:p>
      <w:pPr>
        <w:spacing w:after="80" w:before="60"/>
      </w:pPr>
      <w:r>
        <w:rPr>
          <w:rFonts w:ascii="Arial" w:cs="Arial" w:eastAsia="Arial" w:hAnsi="Arial"/>
          <w:color w:val="0A0F1E"/>
          <w:sz w:val="22"/>
          <w:szCs w:val="22"/>
        </w:rPr>
        <w:t xml:space="preserve">边界AI — Boundary AI — is China's leading all-in-one AI platform for intelligent dialogue, writing, image generation, and agentic automation. AIONE is built as a fork and extension of this architecture, adding a token economy, an on-chain PoU² mining engine, and deep integration with the OpenClaw autonomous agent ecosystem.</w:t>
      </w:r>
    </w:p>
    <w:p>
      <w:pPr>
        <w:pStyle w:val="Heading2"/>
        <w:spacing w:after="120" w:before="320"/>
      </w:pPr>
      <w:r>
        <w:rPr>
          <w:rFonts w:ascii="Arial" w:cs="Arial" w:eastAsia="Arial" w:hAnsi="Arial"/>
          <w:b/>
          <w:bCs/>
          <w:color w:val="1A2B6B"/>
          <w:sz w:val="26"/>
          <w:szCs w:val="26"/>
        </w:rPr>
        <w:t xml:space="preserve">2.2  The Problem v2.0 Solves</w:t>
      </w:r>
    </w:p>
    <w:p>
      <w:pPr>
        <w:spacing w:after="80" w:before="60"/>
      </w:pPr>
      <w:r>
        <w:rPr>
          <w:rFonts w:ascii="Arial" w:cs="Arial" w:eastAsia="Arial" w:hAnsi="Arial"/>
          <w:color w:val="0A0F1E"/>
          <w:sz w:val="22"/>
          <w:szCs w:val="22"/>
        </w:rPr>
        <w:t xml:space="preserve">Version 1.0 identified that AI users generate enormous value but receive nothing back. Version 2.0 deepens this analysis: the fundamental problem is not merely unrewarded labour — it is that existing AI subscription models are purely extractive liabilities. Users pay forward, the platform profits forward, and no economic loop closes back to the user.</w:t>
      </w:r>
    </w:p>
    <w:p>
      <w:pPr>
        <w:spacing w:after="80" w:before="60"/>
      </w:pPr>
      <w:r>
        <w:rPr>
          <w:rFonts w:ascii="Arial" w:cs="Arial" w:eastAsia="Arial" w:hAnsi="Arial"/>
          <w:color w:val="0A0F1E"/>
          <w:sz w:val="22"/>
          <w:szCs w:val="22"/>
        </w:rPr>
        <w:t xml:space="preserve">AIONE v2.0 converts every subscription into a productive economic instrument with three simultaneous effects: immediate 100% cashback, continuous mining yield, and growing governance power — making AIONE subscription the world's first yield-bearing AI access plan.</w:t>
      </w:r>
    </w:p>
    <w:p>
      <w:pPr>
        <w:pStyle w:val="Heading2"/>
        <w:spacing w:after="120" w:before="320"/>
      </w:pPr>
      <w:r>
        <w:rPr>
          <w:rFonts w:ascii="Arial" w:cs="Arial" w:eastAsia="Arial" w:hAnsi="Arial"/>
          <w:b/>
          <w:bCs/>
          <w:color w:val="1A2B6B"/>
          <w:sz w:val="26"/>
          <w:szCs w:val="26"/>
        </w:rPr>
        <w:t xml:space="preserve">2.3  v2.0 Core Innovation Summary</w:t>
      </w:r>
    </w:p>
    <w:p>
      <w:pPr>
        <w:pStyle w:val="ListParagraph"/>
        <w:numPr>
          <w:ilvl w:val="0"/>
          <w:numId w:val="2"/>
        </w:numPr>
        <w:spacing w:after="40" w:before="40"/>
      </w:pPr>
      <w:r>
        <w:rPr>
          <w:rFonts w:ascii="Arial" w:cs="Arial" w:eastAsia="Arial" w:hAnsi="Arial"/>
          <w:color w:val="0A0F1E"/>
          <w:sz w:val="21"/>
          <w:szCs w:val="21"/>
        </w:rPr>
        <w:t xml:space="preserve">Subscription as Capital Formation: subscribing is equivalent to buying a yielding bond in the AIONE economy</w:t>
      </w:r>
    </w:p>
    <w:p>
      <w:pPr>
        <w:pStyle w:val="ListParagraph"/>
        <w:numPr>
          <w:ilvl w:val="0"/>
          <w:numId w:val="2"/>
        </w:numPr>
        <w:spacing w:after="40" w:before="40"/>
      </w:pPr>
      <w:r>
        <w:rPr>
          <w:rFonts w:ascii="Arial" w:cs="Arial" w:eastAsia="Arial" w:hAnsi="Arial"/>
          <w:color w:val="0A0F1E"/>
          <w:sz w:val="21"/>
          <w:szCs w:val="21"/>
        </w:rPr>
        <w:t xml:space="preserve">Mining Capacity as Monetary Base: total subscriptions determine total token issuance capacity, not arbitrary schedules</w:t>
      </w:r>
    </w:p>
    <w:p>
      <w:pPr>
        <w:pStyle w:val="ListParagraph"/>
        <w:numPr>
          <w:ilvl w:val="0"/>
          <w:numId w:val="2"/>
        </w:numPr>
        <w:spacing w:after="40" w:before="40"/>
      </w:pPr>
      <w:r>
        <w:rPr>
          <w:rFonts w:ascii="Arial" w:cs="Arial" w:eastAsia="Arial" w:hAnsi="Arial"/>
          <w:color w:val="0A0F1E"/>
          <w:sz w:val="21"/>
          <w:szCs w:val="21"/>
        </w:rPr>
        <w:t xml:space="preserve">Staking as Capital Controls: voluntary lockup is incentivised to replace coercive controls, achieving Mundell stability</w:t>
      </w:r>
    </w:p>
    <w:p>
      <w:pPr>
        <w:pStyle w:val="ListParagraph"/>
        <w:numPr>
          <w:ilvl w:val="0"/>
          <w:numId w:val="2"/>
        </w:numPr>
        <w:spacing w:after="40" w:before="40"/>
      </w:pPr>
      <w:r>
        <w:rPr>
          <w:rFonts w:ascii="Arial" w:cs="Arial" w:eastAsia="Arial" w:hAnsi="Arial"/>
          <w:color w:val="0A0F1E"/>
          <w:sz w:val="21"/>
          <w:szCs w:val="21"/>
        </w:rPr>
        <w:t xml:space="preserve">Debt as Engine, Not Liability: committed future subscriptions create mining credits today, funding present incentives</w:t>
      </w:r>
    </w:p>
    <w:p>
      <w:r>
        <w:rPr>
          <w:sz w:val="20"/>
          <w:szCs w:val="20"/>
        </w:rPr>
        <w:t xml:space="preserve"/>
      </w:r>
    </w:p>
    <w:p>
      <w:pPr>
        <w:pStyle w:val="Heading1"/>
        <w:pBdr>
          <w:bottom w:val="single" w:color="2D6BE4" w:sz="8" w:space="4"/>
        </w:pBdr>
        <w:spacing w:after="200" w:before="480"/>
      </w:pPr>
      <w:r>
        <w:rPr>
          <w:rFonts w:ascii="Arial" w:cs="Arial" w:eastAsia="Arial" w:hAnsi="Arial"/>
          <w:b/>
          <w:bCs/>
          <w:color w:val="1A2B6B"/>
          <w:sz w:val="36"/>
          <w:szCs w:val="36"/>
        </w:rPr>
        <w:t xml:space="preserve">3. Market Opportunity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2D6BE4" w:sz="1"/>
              <w:left w:val="single" w:color="2D6BE4" w:sz="1"/>
              <w:bottom w:val="single" w:color="2D6BE4" w:sz="1"/>
              <w:right w:val="single" w:color="2D6BE4" w:sz="1"/>
            </w:tcBorders>
            <w:shd w:fill="1A2B6B" w:val="clear"/>
            <w:tcMar>
              <w:top w:type="dxa" w:w="80"/>
              <w:left w:type="dxa" w:w="120"/>
              <w:bottom w:type="dxa" w:w="80"/>
              <w:right w:type="dxa" w:w="120"/>
            </w:tcMar>
            <w:vAlign w:val="center"/>
          </w:tcPr>
          <w:p>
            <w:pPr>
              <w:spacing w:after="0" w:before="0"/>
              <w:jc w:val="center"/>
            </w:pPr>
            <w:r>
              <w:rPr>
                <w:rFonts w:ascii="Arial" w:cs="Arial" w:eastAsia="Arial" w:hAnsi="Arial"/>
                <w:b/>
                <w:bCs/>
                <w:color w:val="FFFFFF"/>
                <w:sz w:val="19"/>
                <w:szCs w:val="19"/>
              </w:rPr>
              <w:t xml:space="preserve">Segment</w:t>
            </w:r>
          </w:p>
        </w:tc>
        <w:tc>
          <w:tcPr>
            <w:tcW w:type="dxa" w:w="3120"/>
            <w:tcBorders>
              <w:top w:val="single" w:color="2D6BE4" w:sz="1"/>
              <w:left w:val="single" w:color="2D6BE4" w:sz="1"/>
              <w:bottom w:val="single" w:color="2D6BE4" w:sz="1"/>
              <w:right w:val="single" w:color="2D6BE4" w:sz="1"/>
            </w:tcBorders>
            <w:shd w:fill="1A2B6B" w:val="clear"/>
            <w:tcMar>
              <w:top w:type="dxa" w:w="80"/>
              <w:left w:type="dxa" w:w="120"/>
              <w:bottom w:type="dxa" w:w="80"/>
              <w:right w:type="dxa" w:w="120"/>
            </w:tcMar>
            <w:vAlign w:val="center"/>
          </w:tcPr>
          <w:p>
            <w:pPr>
              <w:spacing w:after="0" w:before="0"/>
              <w:jc w:val="center"/>
            </w:pPr>
            <w:r>
              <w:rPr>
                <w:rFonts w:ascii="Arial" w:cs="Arial" w:eastAsia="Arial" w:hAnsi="Arial"/>
                <w:b/>
                <w:bCs/>
                <w:color w:val="FFFFFF"/>
                <w:sz w:val="19"/>
                <w:szCs w:val="19"/>
              </w:rPr>
              <w:t xml:space="preserve">2025 Size</w:t>
            </w:r>
          </w:p>
        </w:tc>
        <w:tc>
          <w:tcPr>
            <w:tcW w:type="dxa" w:w="3120"/>
            <w:tcBorders>
              <w:top w:val="single" w:color="2D6BE4" w:sz="1"/>
              <w:left w:val="single" w:color="2D6BE4" w:sz="1"/>
              <w:bottom w:val="single" w:color="2D6BE4" w:sz="1"/>
              <w:right w:val="single" w:color="2D6BE4" w:sz="1"/>
            </w:tcBorders>
            <w:shd w:fill="1A2B6B" w:val="clear"/>
            <w:tcMar>
              <w:top w:type="dxa" w:w="80"/>
              <w:left w:type="dxa" w:w="120"/>
              <w:bottom w:type="dxa" w:w="80"/>
              <w:right w:type="dxa" w:w="120"/>
            </w:tcMar>
            <w:vAlign w:val="center"/>
          </w:tcPr>
          <w:p>
            <w:pPr>
              <w:spacing w:after="0" w:before="0"/>
              <w:jc w:val="center"/>
            </w:pPr>
            <w:r>
              <w:rPr>
                <w:rFonts w:ascii="Arial" w:cs="Arial" w:eastAsia="Arial" w:hAnsi="Arial"/>
                <w:b/>
                <w:bCs/>
                <w:color w:val="FFFFFF"/>
                <w:sz w:val="19"/>
                <w:szCs w:val="19"/>
              </w:rPr>
              <w:t xml:space="preserve">2030 Forecast</w:t>
            </w:r>
          </w:p>
        </w:tc>
      </w:tr>
      <w:tr>
        <w:tc>
          <w:tcPr>
            <w:tcW w:type="dxa" w:w="312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Generative AI SaaS</w:t>
            </w:r>
          </w:p>
        </w:tc>
        <w:tc>
          <w:tcPr>
            <w:tcW w:type="dxa" w:w="312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$43B</w:t>
            </w:r>
          </w:p>
        </w:tc>
        <w:tc>
          <w:tcPr>
            <w:tcW w:type="dxa" w:w="312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$207B (CAGR 37%)</w:t>
            </w:r>
          </w:p>
        </w:tc>
      </w:tr>
      <w:tr>
        <w:tc>
          <w:tcPr>
            <w:tcW w:type="dxa" w:w="312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Crypto Market Cap</w:t>
            </w:r>
          </w:p>
        </w:tc>
        <w:tc>
          <w:tcPr>
            <w:tcW w:type="dxa" w:w="312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$2.7T</w:t>
            </w:r>
          </w:p>
        </w:tc>
        <w:tc>
          <w:tcPr>
            <w:tcW w:type="dxa" w:w="312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$8T+ projected</w:t>
            </w:r>
          </w:p>
        </w:tc>
      </w:tr>
      <w:tr>
        <w:tc>
          <w:tcPr>
            <w:tcW w:type="dxa" w:w="312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AI Agent Platforms</w:t>
            </w:r>
          </w:p>
        </w:tc>
        <w:tc>
          <w:tcPr>
            <w:tcW w:type="dxa" w:w="312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$3.8B</w:t>
            </w:r>
          </w:p>
        </w:tc>
        <w:tc>
          <w:tcPr>
            <w:tcW w:type="dxa" w:w="312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$28B (CAGR 49%)</w:t>
            </w:r>
          </w:p>
        </w:tc>
      </w:tr>
      <w:tr>
        <w:tc>
          <w:tcPr>
            <w:tcW w:type="dxa" w:w="312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Web3 × AI Infrastructure</w:t>
            </w:r>
          </w:p>
        </w:tc>
        <w:tc>
          <w:tcPr>
            <w:tcW w:type="dxa" w:w="312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$1.2B</w:t>
            </w:r>
          </w:p>
        </w:tc>
        <w:tc>
          <w:tcPr>
            <w:tcW w:type="dxa" w:w="312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$15B (CAGR 66%)</w:t>
            </w:r>
          </w:p>
        </w:tc>
      </w:tr>
      <w:tr>
        <w:tc>
          <w:tcPr>
            <w:tcW w:type="dxa" w:w="312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China AI Consumer Market</w:t>
            </w:r>
          </w:p>
        </w:tc>
        <w:tc>
          <w:tcPr>
            <w:tcW w:type="dxa" w:w="312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$18B</w:t>
            </w:r>
          </w:p>
        </w:tc>
        <w:tc>
          <w:tcPr>
            <w:tcW w:type="dxa" w:w="312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$85B (CAGR 40%)</w:t>
            </w:r>
          </w:p>
        </w:tc>
      </w:tr>
    </w:tbl>
    <w:p>
      <w:r>
        <w:rPr>
          <w:sz w:val="20"/>
          <w:szCs w:val="20"/>
        </w:rPr>
        <w:t xml:space="preserve"/>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D6BE4" w:sz="1"/>
              <w:left w:val="single" w:color="1A2B6B" w:sz="1"/>
              <w:bottom w:val="single" w:color="2D6BE4" w:sz="1"/>
              <w:right w:val="single" w:color="1A2B6B" w:sz="1"/>
            </w:tcBorders>
            <w:shd w:fill="1A2B6B" w:val="clear"/>
            <w:tcMar>
              <w:top w:type="dxa" w:w="120"/>
              <w:left w:type="dxa" w:w="240"/>
              <w:bottom w:type="dxa" w:w="120"/>
              <w:right w:type="dxa" w:w="240"/>
            </w:tcMar>
          </w:tcPr>
          <w:p>
            <w:pPr>
              <w:spacing w:after="0" w:before="0"/>
              <w:jc w:val="center"/>
            </w:pPr>
            <w:r>
              <w:rPr>
                <w:rFonts w:ascii="Arial" w:cs="Arial" w:eastAsia="Arial" w:hAnsi="Arial"/>
                <w:b/>
                <w:bCs/>
                <w:color w:val="FFFFFF"/>
                <w:sz w:val="24"/>
                <w:szCs w:val="24"/>
              </w:rPr>
              <w:t xml:space="preserve">PART I — 100% SUBSCRIPTION CASHBACK PROTOCOL</w:t>
            </w:r>
          </w:p>
        </w:tc>
      </w:tr>
    </w:tbl>
    <w:p>
      <w:r>
        <w:rPr>
          <w:sz w:val="20"/>
          <w:szCs w:val="20"/>
        </w:rPr>
        <w:t xml:space="preserve"/>
      </w:r>
    </w:p>
    <w:p>
      <w:pPr>
        <w:pStyle w:val="Heading1"/>
        <w:pBdr>
          <w:bottom w:val="single" w:color="2D6BE4" w:sz="8" w:space="4"/>
        </w:pBdr>
        <w:spacing w:after="200" w:before="480"/>
      </w:pPr>
      <w:r>
        <w:rPr>
          <w:rFonts w:ascii="Arial" w:cs="Arial" w:eastAsia="Arial" w:hAnsi="Arial"/>
          <w:b/>
          <w:bCs/>
          <w:color w:val="1A2B6B"/>
          <w:sz w:val="36"/>
          <w:szCs w:val="36"/>
        </w:rPr>
        <w:t xml:space="preserve">4. The 100% Cashback Protocol</w:t>
      </w:r>
    </w:p>
    <w:p>
      <w:pPr>
        <w:pStyle w:val="Heading2"/>
        <w:spacing w:after="120" w:before="320"/>
      </w:pPr>
      <w:r>
        <w:rPr>
          <w:rFonts w:ascii="Arial" w:cs="Arial" w:eastAsia="Arial" w:hAnsi="Arial"/>
          <w:b/>
          <w:bCs/>
          <w:color w:val="1A2B6B"/>
          <w:sz w:val="26"/>
          <w:szCs w:val="26"/>
        </w:rPr>
        <w:t xml:space="preserve">4.1  Design Philosophy</w:t>
      </w:r>
    </w:p>
    <w:p>
      <w:pPr>
        <w:spacing w:after="80" w:before="60"/>
      </w:pPr>
      <w:r>
        <w:rPr>
          <w:rFonts w:ascii="Arial" w:cs="Arial" w:eastAsia="Arial" w:hAnsi="Arial"/>
          <w:color w:val="0A0F1E"/>
          <w:sz w:val="22"/>
          <w:szCs w:val="22"/>
        </w:rPr>
        <w:t xml:space="preserve">The 100% Cashback Protocol is the most radical departure from v1.0. Rather than rewarding users with fixed token amounts (e.g., 5 AIONE/month), v2.0 guarantees that the market-equivalent value of every subscription dollar is returned to the user in AIONE tokens. The amount of tokens varies with price; the value in fiat-equivalent does not.</w:t>
      </w:r>
    </w:p>
    <w:p>
      <w:r>
        <w:rPr>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D6BE4" w:sz="1"/>
              <w:left w:val="single" w:color="2D6BE4" w:sz="1"/>
              <w:bottom w:val="single" w:color="2D6BE4" w:sz="1"/>
              <w:right w:val="single" w:color="2D6BE4" w:sz="1"/>
            </w:tcBorders>
            <w:shd w:fill="EFF3FB" w:val="clear"/>
            <w:tcMar>
              <w:top w:type="dxa" w:w="140"/>
              <w:left w:type="dxa" w:w="200"/>
              <w:bottom w:type="dxa" w:w="140"/>
              <w:right w:type="dxa" w:w="200"/>
            </w:tcMar>
          </w:tcPr>
          <w:p>
            <w:pPr>
              <w:spacing w:after="0" w:before="0"/>
            </w:pPr>
            <w:r>
              <w:rPr>
                <w:rFonts w:ascii="Arial" w:cs="Arial" w:eastAsia="Arial" w:hAnsi="Arial"/>
                <w:i/>
                <w:iCs/>
                <w:color w:val="1A2B6B"/>
                <w:sz w:val="21"/>
                <w:szCs w:val="21"/>
              </w:rPr>
              <w:t xml:space="preserve">Core Rule: If a user pays $X in subscription, they receive tokens worth $X at the 7-day volume-weighted average price (VWAP) at time of issuance. One hundred cents of value in, one hundred cents of value out — always.</w:t>
            </w:r>
          </w:p>
        </w:tc>
      </w:tr>
    </w:tbl>
    <w:p>
      <w:r>
        <w:rPr>
          <w:sz w:val="20"/>
          <w:szCs w:val="20"/>
        </w:rPr>
        <w:t xml:space="preserve"/>
      </w:r>
    </w:p>
    <w:p>
      <w:pPr>
        <w:pStyle w:val="Heading2"/>
        <w:spacing w:after="120" w:before="320"/>
      </w:pPr>
      <w:r>
        <w:rPr>
          <w:rFonts w:ascii="Arial" w:cs="Arial" w:eastAsia="Arial" w:hAnsi="Arial"/>
          <w:b/>
          <w:bCs/>
          <w:color w:val="1A2B6B"/>
          <w:sz w:val="26"/>
          <w:szCs w:val="26"/>
        </w:rPr>
        <w:t xml:space="preserve">4.2  Dynamic Cashback Formula</w:t>
      </w:r>
    </w:p>
    <w:p>
      <w:pPr>
        <w:spacing w:after="80" w:before="60"/>
      </w:pPr>
      <w:r>
        <w:rPr>
          <w:rFonts w:ascii="Arial" w:cs="Arial" w:eastAsia="Arial" w:hAnsi="Arial"/>
          <w:color w:val="0A0F1E"/>
          <w:sz w:val="22"/>
          <w:szCs w:val="22"/>
        </w:rPr>
        <w:t xml:space="preserve">The cashback token quantity CB is determined by:</w:t>
      </w:r>
    </w:p>
    <w:p>
      <w:r>
        <w:rPr>
          <w:sz w:val="20"/>
          <w:szCs w:val="20"/>
        </w:rPr>
        <w:t xml:space="preserve"/>
      </w:r>
    </w:p>
    <w:p>
      <w:pPr>
        <w:spacing w:after="80" w:before="80"/>
        <w:jc w:val="center"/>
      </w:pPr>
      <w:r>
        <w:rPr>
          <w:rFonts w:ascii="Arial" w:cs="Arial" w:eastAsia="Arial" w:hAnsi="Arial"/>
          <w:b/>
          <w:bCs/>
          <w:color w:val="1A2B6B"/>
          <w:sz w:val="26"/>
          <w:szCs w:val="26"/>
        </w:rPr>
        <w:t xml:space="preserve">CB  =  S  ÷  VWAP₇  ×  LockMultiplier</w:t>
      </w:r>
    </w:p>
    <w:p>
      <w:r>
        <w:rPr>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2D6BE4" w:sz="1"/>
              <w:left w:val="single" w:color="2D6BE4" w:sz="1"/>
              <w:bottom w:val="single" w:color="2D6BE4" w:sz="1"/>
              <w:right w:val="single" w:color="2D6BE4" w:sz="1"/>
            </w:tcBorders>
            <w:shd w:fill="1A2B6B" w:val="clear"/>
            <w:tcMar>
              <w:top w:type="dxa" w:w="80"/>
              <w:left w:type="dxa" w:w="120"/>
              <w:bottom w:type="dxa" w:w="80"/>
              <w:right w:type="dxa" w:w="120"/>
            </w:tcMar>
            <w:vAlign w:val="center"/>
          </w:tcPr>
          <w:p>
            <w:pPr>
              <w:spacing w:after="0" w:before="0"/>
              <w:jc w:val="center"/>
            </w:pPr>
            <w:r>
              <w:rPr>
                <w:rFonts w:ascii="Arial" w:cs="Arial" w:eastAsia="Arial" w:hAnsi="Arial"/>
                <w:b/>
                <w:bCs/>
                <w:color w:val="FFFFFF"/>
                <w:sz w:val="19"/>
                <w:szCs w:val="19"/>
              </w:rPr>
              <w:t xml:space="preserve">Variable</w:t>
            </w:r>
          </w:p>
        </w:tc>
        <w:tc>
          <w:tcPr>
            <w:tcW w:type="dxa" w:w="3120"/>
            <w:tcBorders>
              <w:top w:val="single" w:color="2D6BE4" w:sz="1"/>
              <w:left w:val="single" w:color="2D6BE4" w:sz="1"/>
              <w:bottom w:val="single" w:color="2D6BE4" w:sz="1"/>
              <w:right w:val="single" w:color="2D6BE4" w:sz="1"/>
            </w:tcBorders>
            <w:shd w:fill="1A2B6B" w:val="clear"/>
            <w:tcMar>
              <w:top w:type="dxa" w:w="80"/>
              <w:left w:type="dxa" w:w="120"/>
              <w:bottom w:type="dxa" w:w="80"/>
              <w:right w:type="dxa" w:w="120"/>
            </w:tcMar>
            <w:vAlign w:val="center"/>
          </w:tcPr>
          <w:p>
            <w:pPr>
              <w:spacing w:after="0" w:before="0"/>
              <w:jc w:val="center"/>
            </w:pPr>
            <w:r>
              <w:rPr>
                <w:rFonts w:ascii="Arial" w:cs="Arial" w:eastAsia="Arial" w:hAnsi="Arial"/>
                <w:b/>
                <w:bCs/>
                <w:color w:val="FFFFFF"/>
                <w:sz w:val="19"/>
                <w:szCs w:val="19"/>
              </w:rPr>
              <w:t xml:space="preserve">Name</w:t>
            </w:r>
          </w:p>
        </w:tc>
        <w:tc>
          <w:tcPr>
            <w:tcW w:type="dxa" w:w="3120"/>
            <w:tcBorders>
              <w:top w:val="single" w:color="2D6BE4" w:sz="1"/>
              <w:left w:val="single" w:color="2D6BE4" w:sz="1"/>
              <w:bottom w:val="single" w:color="2D6BE4" w:sz="1"/>
              <w:right w:val="single" w:color="2D6BE4" w:sz="1"/>
            </w:tcBorders>
            <w:shd w:fill="1A2B6B" w:val="clear"/>
            <w:tcMar>
              <w:top w:type="dxa" w:w="80"/>
              <w:left w:type="dxa" w:w="120"/>
              <w:bottom w:type="dxa" w:w="80"/>
              <w:right w:type="dxa" w:w="120"/>
            </w:tcMar>
            <w:vAlign w:val="center"/>
          </w:tcPr>
          <w:p>
            <w:pPr>
              <w:spacing w:after="0" w:before="0"/>
              <w:jc w:val="center"/>
            </w:pPr>
            <w:r>
              <w:rPr>
                <w:rFonts w:ascii="Arial" w:cs="Arial" w:eastAsia="Arial" w:hAnsi="Arial"/>
                <w:b/>
                <w:bCs/>
                <w:color w:val="FFFFFF"/>
                <w:sz w:val="19"/>
                <w:szCs w:val="19"/>
              </w:rPr>
              <w:t xml:space="preserve">Description</w:t>
            </w:r>
          </w:p>
        </w:tc>
      </w:tr>
      <w:tr>
        <w:tc>
          <w:tcPr>
            <w:tcW w:type="dxa" w:w="312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CB</w:t>
            </w:r>
          </w:p>
        </w:tc>
        <w:tc>
          <w:tcPr>
            <w:tcW w:type="dxa" w:w="312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Cashback Tokens</w:t>
            </w:r>
          </w:p>
        </w:tc>
        <w:tc>
          <w:tcPr>
            <w:tcW w:type="dxa" w:w="312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AIONE tokens returned to user</w:t>
            </w:r>
          </w:p>
        </w:tc>
      </w:tr>
      <w:tr>
        <w:tc>
          <w:tcPr>
            <w:tcW w:type="dxa" w:w="312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S</w:t>
            </w:r>
          </w:p>
        </w:tc>
        <w:tc>
          <w:tcPr>
            <w:tcW w:type="dxa" w:w="312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Subscription Amount</w:t>
            </w:r>
          </w:p>
        </w:tc>
        <w:tc>
          <w:tcPr>
            <w:tcW w:type="dxa" w:w="312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USD value of subscription paid</w:t>
            </w:r>
          </w:p>
        </w:tc>
      </w:tr>
      <w:tr>
        <w:tc>
          <w:tcPr>
            <w:tcW w:type="dxa" w:w="312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VWAP₇</w:t>
            </w:r>
          </w:p>
        </w:tc>
        <w:tc>
          <w:tcPr>
            <w:tcW w:type="dxa" w:w="312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7-Day VWAP</w:t>
            </w:r>
          </w:p>
        </w:tc>
        <w:tc>
          <w:tcPr>
            <w:tcW w:type="dxa" w:w="312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Volume-weighted average AIONE price over prior 7 days</w:t>
            </w:r>
          </w:p>
        </w:tc>
      </w:tr>
      <w:tr>
        <w:tc>
          <w:tcPr>
            <w:tcW w:type="dxa" w:w="312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LockMultiplier</w:t>
            </w:r>
          </w:p>
        </w:tc>
        <w:tc>
          <w:tcPr>
            <w:tcW w:type="dxa" w:w="312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Lockup Bonus</w:t>
            </w:r>
          </w:p>
        </w:tc>
        <w:tc>
          <w:tcPr>
            <w:tcW w:type="dxa" w:w="312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Multiplier based on chosen vesting lock period (see §4.4)</w:t>
            </w:r>
          </w:p>
        </w:tc>
      </w:tr>
    </w:tbl>
    <w:p>
      <w:r>
        <w:rPr>
          <w:sz w:val="20"/>
          <w:szCs w:val="20"/>
        </w:rPr>
        <w:t xml:space="preserve"/>
      </w:r>
    </w:p>
    <w:p>
      <w:pPr>
        <w:pStyle w:val="Heading2"/>
        <w:spacing w:after="120" w:before="320"/>
      </w:pPr>
      <w:r>
        <w:rPr>
          <w:rFonts w:ascii="Arial" w:cs="Arial" w:eastAsia="Arial" w:hAnsi="Arial"/>
          <w:b/>
          <w:bCs/>
          <w:color w:val="1A2B6B"/>
          <w:sz w:val="26"/>
          <w:szCs w:val="26"/>
        </w:rPr>
        <w:t xml:space="preserve">4.3  Price Oracle &amp; Anti-Manipulation</w:t>
      </w:r>
    </w:p>
    <w:p>
      <w:pPr>
        <w:spacing w:after="80" w:before="60"/>
      </w:pPr>
      <w:r>
        <w:rPr>
          <w:rFonts w:ascii="Arial" w:cs="Arial" w:eastAsia="Arial" w:hAnsi="Arial"/>
          <w:color w:val="0A0F1E"/>
          <w:sz w:val="22"/>
          <w:szCs w:val="22"/>
        </w:rPr>
        <w:t xml:space="preserve">VWAP₇ is computed from three independent on-chain price feeds (Chainlink + two DEX TWAPs) and published by the PoU Oracle every 24 hours. A 7-day window prevents single-day manipulation. If any two of the three feeds diverge by more than 15%, a governance pause is triggered and the median of the previous 7 valid readings is used.</w:t>
      </w:r>
    </w:p>
    <w:p>
      <w:pPr>
        <w:pStyle w:val="Heading2"/>
        <w:spacing w:after="120" w:before="320"/>
      </w:pPr>
      <w:r>
        <w:rPr>
          <w:rFonts w:ascii="Arial" w:cs="Arial" w:eastAsia="Arial" w:hAnsi="Arial"/>
          <w:b/>
          <w:bCs/>
          <w:color w:val="1A2B6B"/>
          <w:sz w:val="26"/>
          <w:szCs w:val="26"/>
        </w:rPr>
        <w:t xml:space="preserve">4.4  Lockup Bonus — LockMultiplier Schedule</w:t>
      </w:r>
    </w:p>
    <w:p>
      <w:pPr>
        <w:spacing w:after="80" w:before="60"/>
      </w:pPr>
      <w:r>
        <w:rPr>
          <w:rFonts w:ascii="Arial" w:cs="Arial" w:eastAsia="Arial" w:hAnsi="Arial"/>
          <w:color w:val="0A0F1E"/>
          <w:sz w:val="22"/>
          <w:szCs w:val="22"/>
        </w:rPr>
        <w:t xml:space="preserve">Users who voluntarily lock their cashback tokens for a defined period receive an amplified cashback. This is the primary capital control mechanism of the Mundell Triangle Architecture (§9).</w:t>
      </w:r>
    </w:p>
    <w:p>
      <w:r>
        <w:rPr>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2D6BE4" w:sz="1"/>
              <w:left w:val="single" w:color="2D6BE4" w:sz="1"/>
              <w:bottom w:val="single" w:color="2D6BE4" w:sz="1"/>
              <w:right w:val="single" w:color="2D6BE4" w:sz="1"/>
            </w:tcBorders>
            <w:shd w:fill="1A2B6B" w:val="clear"/>
            <w:tcMar>
              <w:top w:type="dxa" w:w="80"/>
              <w:left w:type="dxa" w:w="120"/>
              <w:bottom w:type="dxa" w:w="80"/>
              <w:right w:type="dxa" w:w="120"/>
            </w:tcMar>
            <w:vAlign w:val="center"/>
          </w:tcPr>
          <w:p>
            <w:pPr>
              <w:spacing w:after="0" w:before="0"/>
              <w:jc w:val="center"/>
            </w:pPr>
            <w:r>
              <w:rPr>
                <w:rFonts w:ascii="Arial" w:cs="Arial" w:eastAsia="Arial" w:hAnsi="Arial"/>
                <w:b/>
                <w:bCs/>
                <w:color w:val="FFFFFF"/>
                <w:sz w:val="19"/>
                <w:szCs w:val="19"/>
              </w:rPr>
              <w:t xml:space="preserve">Lock Period</w:t>
            </w:r>
          </w:p>
        </w:tc>
        <w:tc>
          <w:tcPr>
            <w:tcW w:type="dxa" w:w="2340"/>
            <w:tcBorders>
              <w:top w:val="single" w:color="2D6BE4" w:sz="1"/>
              <w:left w:val="single" w:color="2D6BE4" w:sz="1"/>
              <w:bottom w:val="single" w:color="2D6BE4" w:sz="1"/>
              <w:right w:val="single" w:color="2D6BE4" w:sz="1"/>
            </w:tcBorders>
            <w:shd w:fill="1A2B6B" w:val="clear"/>
            <w:tcMar>
              <w:top w:type="dxa" w:w="80"/>
              <w:left w:type="dxa" w:w="120"/>
              <w:bottom w:type="dxa" w:w="80"/>
              <w:right w:type="dxa" w:w="120"/>
            </w:tcMar>
            <w:vAlign w:val="center"/>
          </w:tcPr>
          <w:p>
            <w:pPr>
              <w:spacing w:after="0" w:before="0"/>
              <w:jc w:val="center"/>
            </w:pPr>
            <w:r>
              <w:rPr>
                <w:rFonts w:ascii="Arial" w:cs="Arial" w:eastAsia="Arial" w:hAnsi="Arial"/>
                <w:b/>
                <w:bCs/>
                <w:color w:val="FFFFFF"/>
                <w:sz w:val="19"/>
                <w:szCs w:val="19"/>
              </w:rPr>
              <w:t xml:space="preserve">LockMultiplier</w:t>
            </w:r>
          </w:p>
        </w:tc>
        <w:tc>
          <w:tcPr>
            <w:tcW w:type="dxa" w:w="2340"/>
            <w:tcBorders>
              <w:top w:val="single" w:color="2D6BE4" w:sz="1"/>
              <w:left w:val="single" w:color="2D6BE4" w:sz="1"/>
              <w:bottom w:val="single" w:color="2D6BE4" w:sz="1"/>
              <w:right w:val="single" w:color="2D6BE4" w:sz="1"/>
            </w:tcBorders>
            <w:shd w:fill="1A2B6B" w:val="clear"/>
            <w:tcMar>
              <w:top w:type="dxa" w:w="80"/>
              <w:left w:type="dxa" w:w="120"/>
              <w:bottom w:type="dxa" w:w="80"/>
              <w:right w:type="dxa" w:w="120"/>
            </w:tcMar>
            <w:vAlign w:val="center"/>
          </w:tcPr>
          <w:p>
            <w:pPr>
              <w:spacing w:after="0" w:before="0"/>
              <w:jc w:val="center"/>
            </w:pPr>
            <w:r>
              <w:rPr>
                <w:rFonts w:ascii="Arial" w:cs="Arial" w:eastAsia="Arial" w:hAnsi="Arial"/>
                <w:b/>
                <w:bCs/>
                <w:color w:val="FFFFFF"/>
                <w:sz w:val="19"/>
                <w:szCs w:val="19"/>
              </w:rPr>
              <w:t xml:space="preserve">Effective Cashback</w:t>
            </w:r>
          </w:p>
        </w:tc>
        <w:tc>
          <w:tcPr>
            <w:tcW w:type="dxa" w:w="2340"/>
            <w:tcBorders>
              <w:top w:val="single" w:color="2D6BE4" w:sz="1"/>
              <w:left w:val="single" w:color="2D6BE4" w:sz="1"/>
              <w:bottom w:val="single" w:color="2D6BE4" w:sz="1"/>
              <w:right w:val="single" w:color="2D6BE4" w:sz="1"/>
            </w:tcBorders>
            <w:shd w:fill="1A2B6B" w:val="clear"/>
            <w:tcMar>
              <w:top w:type="dxa" w:w="80"/>
              <w:left w:type="dxa" w:w="120"/>
              <w:bottom w:type="dxa" w:w="80"/>
              <w:right w:type="dxa" w:w="120"/>
            </w:tcMar>
            <w:vAlign w:val="center"/>
          </w:tcPr>
          <w:p>
            <w:pPr>
              <w:spacing w:after="0" w:before="0"/>
              <w:jc w:val="center"/>
            </w:pPr>
            <w:r>
              <w:rPr>
                <w:rFonts w:ascii="Arial" w:cs="Arial" w:eastAsia="Arial" w:hAnsi="Arial"/>
                <w:b/>
                <w:bCs/>
                <w:color w:val="FFFFFF"/>
                <w:sz w:val="19"/>
                <w:szCs w:val="19"/>
              </w:rPr>
              <w:t xml:space="preserve">Annualised Yield Bonus</w:t>
            </w:r>
          </w:p>
        </w:tc>
      </w:tr>
      <w:tr>
        <w:tc>
          <w:tcPr>
            <w:tcW w:type="dxa" w:w="234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No lock (liquid)</w:t>
            </w:r>
          </w:p>
        </w:tc>
        <w:tc>
          <w:tcPr>
            <w:tcW w:type="dxa" w:w="234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1.00×</w:t>
            </w:r>
          </w:p>
        </w:tc>
        <w:tc>
          <w:tcPr>
            <w:tcW w:type="dxa" w:w="234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100% of subscription value</w:t>
            </w:r>
          </w:p>
        </w:tc>
        <w:tc>
          <w:tcPr>
            <w:tcW w:type="dxa" w:w="234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Baseline</w:t>
            </w:r>
          </w:p>
        </w:tc>
      </w:tr>
      <w:tr>
        <w:tc>
          <w:tcPr>
            <w:tcW w:type="dxa" w:w="234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30-day lock</w:t>
            </w:r>
          </w:p>
        </w:tc>
        <w:tc>
          <w:tcPr>
            <w:tcW w:type="dxa" w:w="234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1.15×</w:t>
            </w:r>
          </w:p>
        </w:tc>
        <w:tc>
          <w:tcPr>
            <w:tcW w:type="dxa" w:w="234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115% of subscription value</w:t>
            </w:r>
          </w:p>
        </w:tc>
        <w:tc>
          <w:tcPr>
            <w:tcW w:type="dxa" w:w="234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+18% APY equivalent</w:t>
            </w:r>
          </w:p>
        </w:tc>
      </w:tr>
      <w:tr>
        <w:tc>
          <w:tcPr>
            <w:tcW w:type="dxa" w:w="234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90-day lock</w:t>
            </w:r>
          </w:p>
        </w:tc>
        <w:tc>
          <w:tcPr>
            <w:tcW w:type="dxa" w:w="234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1.35×</w:t>
            </w:r>
          </w:p>
        </w:tc>
        <w:tc>
          <w:tcPr>
            <w:tcW w:type="dxa" w:w="234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135% of subscription value</w:t>
            </w:r>
          </w:p>
        </w:tc>
        <w:tc>
          <w:tcPr>
            <w:tcW w:type="dxa" w:w="234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+54% APY equivalent</w:t>
            </w:r>
          </w:p>
        </w:tc>
      </w:tr>
      <w:tr>
        <w:tc>
          <w:tcPr>
            <w:tcW w:type="dxa" w:w="234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180-day lock</w:t>
            </w:r>
          </w:p>
        </w:tc>
        <w:tc>
          <w:tcPr>
            <w:tcW w:type="dxa" w:w="234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1.60×</w:t>
            </w:r>
          </w:p>
        </w:tc>
        <w:tc>
          <w:tcPr>
            <w:tcW w:type="dxa" w:w="234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160% of subscription value</w:t>
            </w:r>
          </w:p>
        </w:tc>
        <w:tc>
          <w:tcPr>
            <w:tcW w:type="dxa" w:w="234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+120% APY equivalent</w:t>
            </w:r>
          </w:p>
        </w:tc>
      </w:tr>
      <w:tr>
        <w:tc>
          <w:tcPr>
            <w:tcW w:type="dxa" w:w="234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365-day lock</w:t>
            </w:r>
          </w:p>
        </w:tc>
        <w:tc>
          <w:tcPr>
            <w:tcW w:type="dxa" w:w="234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2.00×</w:t>
            </w:r>
          </w:p>
        </w:tc>
        <w:tc>
          <w:tcPr>
            <w:tcW w:type="dxa" w:w="234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200% of subscription value</w:t>
            </w:r>
          </w:p>
        </w:tc>
        <w:tc>
          <w:tcPr>
            <w:tcW w:type="dxa" w:w="234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+100% APY equivalent</w:t>
            </w:r>
          </w:p>
        </w:tc>
      </w:tr>
    </w:tbl>
    <w:p>
      <w:r>
        <w:rPr>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D6BE4" w:sz="1"/>
              <w:left w:val="single" w:color="2D6BE4" w:sz="1"/>
              <w:bottom w:val="single" w:color="2D6BE4" w:sz="1"/>
              <w:right w:val="single" w:color="2D6BE4" w:sz="1"/>
            </w:tcBorders>
            <w:shd w:fill="D1FAE5" w:val="clear"/>
            <w:tcMar>
              <w:top w:type="dxa" w:w="140"/>
              <w:left w:type="dxa" w:w="200"/>
              <w:bottom w:type="dxa" w:w="140"/>
              <w:right w:type="dxa" w:w="200"/>
            </w:tcMar>
          </w:tcPr>
          <w:p>
            <w:pPr>
              <w:spacing w:after="0" w:before="0"/>
            </w:pPr>
            <w:r>
              <w:rPr>
                <w:rFonts w:ascii="Arial" w:cs="Arial" w:eastAsia="Arial" w:hAnsi="Arial"/>
                <w:i/>
                <w:iCs/>
                <w:color w:val="065F46"/>
                <w:sz w:val="21"/>
                <w:szCs w:val="21"/>
              </w:rPr>
              <w:t xml:space="preserve">Strategic Design Note: A user subscribing at $59/quarter who accepts a 365-day lock receives the equivalent of $118 in AIONE per quarter — effectively free AI access plus a profit. This creates overwhelming incentive to lock, reducing circulating supply by design.</w:t>
            </w:r>
          </w:p>
        </w:tc>
      </w:tr>
    </w:tbl>
    <w:p>
      <w:r>
        <w:rPr>
          <w:sz w:val="20"/>
          <w:szCs w:val="20"/>
        </w:rPr>
        <w:t xml:space="preserve"/>
      </w:r>
    </w:p>
    <w:p>
      <w:pPr>
        <w:pStyle w:val="Heading2"/>
        <w:spacing w:after="120" w:before="320"/>
      </w:pPr>
      <w:r>
        <w:rPr>
          <w:rFonts w:ascii="Arial" w:cs="Arial" w:eastAsia="Arial" w:hAnsi="Arial"/>
          <w:b/>
          <w:bCs/>
          <w:color w:val="1A2B6B"/>
          <w:sz w:val="26"/>
          <w:szCs w:val="26"/>
        </w:rPr>
        <w:t xml:space="preserve">4.5  Subscription Tier Structure (v2.0)</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72"/>
        <w:gridCol w:w="1872"/>
        <w:gridCol w:w="1872"/>
        <w:gridCol w:w="1872"/>
        <w:gridCol w:w="1872"/>
      </w:tblGrid>
      <w:tr>
        <w:tc>
          <w:tcPr>
            <w:tcW w:type="dxa" w:w="1872"/>
            <w:tcBorders>
              <w:top w:val="single" w:color="2D6BE4" w:sz="1"/>
              <w:left w:val="single" w:color="2D6BE4" w:sz="1"/>
              <w:bottom w:val="single" w:color="2D6BE4" w:sz="1"/>
              <w:right w:val="single" w:color="2D6BE4" w:sz="1"/>
            </w:tcBorders>
            <w:shd w:fill="1A2B6B" w:val="clear"/>
            <w:tcMar>
              <w:top w:type="dxa" w:w="80"/>
              <w:left w:type="dxa" w:w="120"/>
              <w:bottom w:type="dxa" w:w="80"/>
              <w:right w:type="dxa" w:w="120"/>
            </w:tcMar>
            <w:vAlign w:val="center"/>
          </w:tcPr>
          <w:p>
            <w:pPr>
              <w:spacing w:after="0" w:before="0"/>
              <w:jc w:val="center"/>
            </w:pPr>
            <w:r>
              <w:rPr>
                <w:rFonts w:ascii="Arial" w:cs="Arial" w:eastAsia="Arial" w:hAnsi="Arial"/>
                <w:b/>
                <w:bCs/>
                <w:color w:val="FFFFFF"/>
                <w:sz w:val="19"/>
                <w:szCs w:val="19"/>
              </w:rPr>
              <w:t xml:space="preserve">Plan</w:t>
            </w:r>
          </w:p>
        </w:tc>
        <w:tc>
          <w:tcPr>
            <w:tcW w:type="dxa" w:w="1872"/>
            <w:tcBorders>
              <w:top w:val="single" w:color="2D6BE4" w:sz="1"/>
              <w:left w:val="single" w:color="2D6BE4" w:sz="1"/>
              <w:bottom w:val="single" w:color="2D6BE4" w:sz="1"/>
              <w:right w:val="single" w:color="2D6BE4" w:sz="1"/>
            </w:tcBorders>
            <w:shd w:fill="1A2B6B" w:val="clear"/>
            <w:tcMar>
              <w:top w:type="dxa" w:w="80"/>
              <w:left w:type="dxa" w:w="120"/>
              <w:bottom w:type="dxa" w:w="80"/>
              <w:right w:type="dxa" w:w="120"/>
            </w:tcMar>
            <w:vAlign w:val="center"/>
          </w:tcPr>
          <w:p>
            <w:pPr>
              <w:spacing w:after="0" w:before="0"/>
              <w:jc w:val="center"/>
            </w:pPr>
            <w:r>
              <w:rPr>
                <w:rFonts w:ascii="Arial" w:cs="Arial" w:eastAsia="Arial" w:hAnsi="Arial"/>
                <w:b/>
                <w:bCs/>
                <w:color w:val="FFFFFF"/>
                <w:sz w:val="19"/>
                <w:szCs w:val="19"/>
              </w:rPr>
              <w:t xml:space="preserve">Price</w:t>
            </w:r>
          </w:p>
        </w:tc>
        <w:tc>
          <w:tcPr>
            <w:tcW w:type="dxa" w:w="1872"/>
            <w:tcBorders>
              <w:top w:val="single" w:color="2D6BE4" w:sz="1"/>
              <w:left w:val="single" w:color="2D6BE4" w:sz="1"/>
              <w:bottom w:val="single" w:color="2D6BE4" w:sz="1"/>
              <w:right w:val="single" w:color="2D6BE4" w:sz="1"/>
            </w:tcBorders>
            <w:shd w:fill="1A2B6B" w:val="clear"/>
            <w:tcMar>
              <w:top w:type="dxa" w:w="80"/>
              <w:left w:type="dxa" w:w="120"/>
              <w:bottom w:type="dxa" w:w="80"/>
              <w:right w:type="dxa" w:w="120"/>
            </w:tcMar>
            <w:vAlign w:val="center"/>
          </w:tcPr>
          <w:p>
            <w:pPr>
              <w:spacing w:after="0" w:before="0"/>
              <w:jc w:val="center"/>
            </w:pPr>
            <w:r>
              <w:rPr>
                <w:rFonts w:ascii="Arial" w:cs="Arial" w:eastAsia="Arial" w:hAnsi="Arial"/>
                <w:b/>
                <w:bCs/>
                <w:color w:val="FFFFFF"/>
                <w:sz w:val="19"/>
                <w:szCs w:val="19"/>
              </w:rPr>
              <w:t xml:space="preserve">Base CB (100%)</w:t>
            </w:r>
          </w:p>
        </w:tc>
        <w:tc>
          <w:tcPr>
            <w:tcW w:type="dxa" w:w="1872"/>
            <w:tcBorders>
              <w:top w:val="single" w:color="2D6BE4" w:sz="1"/>
              <w:left w:val="single" w:color="2D6BE4" w:sz="1"/>
              <w:bottom w:val="single" w:color="2D6BE4" w:sz="1"/>
              <w:right w:val="single" w:color="2D6BE4" w:sz="1"/>
            </w:tcBorders>
            <w:shd w:fill="1A2B6B" w:val="clear"/>
            <w:tcMar>
              <w:top w:type="dxa" w:w="80"/>
              <w:left w:type="dxa" w:w="120"/>
              <w:bottom w:type="dxa" w:w="80"/>
              <w:right w:type="dxa" w:w="120"/>
            </w:tcMar>
            <w:vAlign w:val="center"/>
          </w:tcPr>
          <w:p>
            <w:pPr>
              <w:spacing w:after="0" w:before="0"/>
              <w:jc w:val="center"/>
            </w:pPr>
            <w:r>
              <w:rPr>
                <w:rFonts w:ascii="Arial" w:cs="Arial" w:eastAsia="Arial" w:hAnsi="Arial"/>
                <w:b/>
                <w:bCs/>
                <w:color w:val="FFFFFF"/>
                <w:sz w:val="19"/>
                <w:szCs w:val="19"/>
              </w:rPr>
              <w:t xml:space="preserve">Max CB (2.0× lock)</w:t>
            </w:r>
          </w:p>
        </w:tc>
        <w:tc>
          <w:tcPr>
            <w:tcW w:type="dxa" w:w="1872"/>
            <w:tcBorders>
              <w:top w:val="single" w:color="2D6BE4" w:sz="1"/>
              <w:left w:val="single" w:color="2D6BE4" w:sz="1"/>
              <w:bottom w:val="single" w:color="2D6BE4" w:sz="1"/>
              <w:right w:val="single" w:color="2D6BE4" w:sz="1"/>
            </w:tcBorders>
            <w:shd w:fill="1A2B6B" w:val="clear"/>
            <w:tcMar>
              <w:top w:type="dxa" w:w="80"/>
              <w:left w:type="dxa" w:w="120"/>
              <w:bottom w:type="dxa" w:w="80"/>
              <w:right w:type="dxa" w:w="120"/>
            </w:tcMar>
            <w:vAlign w:val="center"/>
          </w:tcPr>
          <w:p>
            <w:pPr>
              <w:spacing w:after="0" w:before="0"/>
              <w:jc w:val="center"/>
            </w:pPr>
            <w:r>
              <w:rPr>
                <w:rFonts w:ascii="Arial" w:cs="Arial" w:eastAsia="Arial" w:hAnsi="Arial"/>
                <w:b/>
                <w:bCs/>
                <w:color w:val="FFFFFF"/>
                <w:sz w:val="19"/>
                <w:szCs w:val="19"/>
              </w:rPr>
              <w:t xml:space="preserve">Mining Tier Multiplier</w:t>
            </w:r>
          </w:p>
        </w:tc>
      </w:tr>
      <w:tr>
        <w:tc>
          <w:tcPr>
            <w:tcW w:type="dxa" w:w="1872"/>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Starter Monthly</w:t>
            </w:r>
          </w:p>
        </w:tc>
        <w:tc>
          <w:tcPr>
            <w:tcW w:type="dxa" w:w="1872"/>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$10/mo</w:t>
            </w:r>
          </w:p>
        </w:tc>
        <w:tc>
          <w:tcPr>
            <w:tcW w:type="dxa" w:w="1872"/>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$10 equiv. AIONE</w:t>
            </w:r>
          </w:p>
        </w:tc>
        <w:tc>
          <w:tcPr>
            <w:tcW w:type="dxa" w:w="1872"/>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$20 equiv. AIONE</w:t>
            </w:r>
          </w:p>
        </w:tc>
        <w:tc>
          <w:tcPr>
            <w:tcW w:type="dxa" w:w="1872"/>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TM = 1.0×</w:t>
            </w:r>
          </w:p>
        </w:tc>
      </w:tr>
      <w:tr>
        <w:tc>
          <w:tcPr>
            <w:tcW w:type="dxa" w:w="1872"/>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Pro Quarterly</w:t>
            </w:r>
          </w:p>
        </w:tc>
        <w:tc>
          <w:tcPr>
            <w:tcW w:type="dxa" w:w="1872"/>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$59/qtr</w:t>
            </w:r>
          </w:p>
        </w:tc>
        <w:tc>
          <w:tcPr>
            <w:tcW w:type="dxa" w:w="1872"/>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$59 equiv. AIONE</w:t>
            </w:r>
          </w:p>
        </w:tc>
        <w:tc>
          <w:tcPr>
            <w:tcW w:type="dxa" w:w="1872"/>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$118 equiv. AIONE</w:t>
            </w:r>
          </w:p>
        </w:tc>
        <w:tc>
          <w:tcPr>
            <w:tcW w:type="dxa" w:w="1872"/>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TM = 1.4×</w:t>
            </w:r>
          </w:p>
        </w:tc>
      </w:tr>
      <w:tr>
        <w:tc>
          <w:tcPr>
            <w:tcW w:type="dxa" w:w="1872"/>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Power Half-Year</w:t>
            </w:r>
          </w:p>
        </w:tc>
        <w:tc>
          <w:tcPr>
            <w:tcW w:type="dxa" w:w="1872"/>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$199/6mo</w:t>
            </w:r>
          </w:p>
        </w:tc>
        <w:tc>
          <w:tcPr>
            <w:tcW w:type="dxa" w:w="1872"/>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$199 equiv. AIONE</w:t>
            </w:r>
          </w:p>
        </w:tc>
        <w:tc>
          <w:tcPr>
            <w:tcW w:type="dxa" w:w="1872"/>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$398 equiv. AIONE</w:t>
            </w:r>
          </w:p>
        </w:tc>
        <w:tc>
          <w:tcPr>
            <w:tcW w:type="dxa" w:w="1872"/>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TM = 1.8×</w:t>
            </w:r>
          </w:p>
        </w:tc>
      </w:tr>
      <w:tr>
        <w:tc>
          <w:tcPr>
            <w:tcW w:type="dxa" w:w="1872"/>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Elite Annual</w:t>
            </w:r>
          </w:p>
        </w:tc>
        <w:tc>
          <w:tcPr>
            <w:tcW w:type="dxa" w:w="1872"/>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$599/yr</w:t>
            </w:r>
          </w:p>
        </w:tc>
        <w:tc>
          <w:tcPr>
            <w:tcW w:type="dxa" w:w="1872"/>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$599 equiv. AIONE</w:t>
            </w:r>
          </w:p>
        </w:tc>
        <w:tc>
          <w:tcPr>
            <w:tcW w:type="dxa" w:w="1872"/>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$1,198 equiv. AIONE</w:t>
            </w:r>
          </w:p>
        </w:tc>
        <w:tc>
          <w:tcPr>
            <w:tcW w:type="dxa" w:w="1872"/>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TM = 2.5×</w:t>
            </w:r>
          </w:p>
        </w:tc>
      </w:tr>
      <w:tr>
        <w:tc>
          <w:tcPr>
            <w:tcW w:type="dxa" w:w="1872"/>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Enterprise API</w:t>
            </w:r>
          </w:p>
        </w:tc>
        <w:tc>
          <w:tcPr>
            <w:tcW w:type="dxa" w:w="1872"/>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Custom</w:t>
            </w:r>
          </w:p>
        </w:tc>
        <w:tc>
          <w:tcPr>
            <w:tcW w:type="dxa" w:w="1872"/>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100% of API spend</w:t>
            </w:r>
          </w:p>
        </w:tc>
        <w:tc>
          <w:tcPr>
            <w:tcW w:type="dxa" w:w="1872"/>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200% with 365-day lock</w:t>
            </w:r>
          </w:p>
        </w:tc>
        <w:tc>
          <w:tcPr>
            <w:tcW w:type="dxa" w:w="1872"/>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TM = 3.0×</w:t>
            </w:r>
          </w:p>
        </w:tc>
      </w:tr>
    </w:tbl>
    <w:p>
      <w:r>
        <w:rPr>
          <w:sz w:val="20"/>
          <w:szCs w:val="20"/>
        </w:rPr>
        <w:t xml:space="preserve"/>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D6BE4" w:sz="1"/>
              <w:left w:val="single" w:color="1A2B6B" w:sz="1"/>
              <w:bottom w:val="single" w:color="2D6BE4" w:sz="1"/>
              <w:right w:val="single" w:color="1A2B6B" w:sz="1"/>
            </w:tcBorders>
            <w:shd w:fill="1A2B6B" w:val="clear"/>
            <w:tcMar>
              <w:top w:type="dxa" w:w="120"/>
              <w:left w:type="dxa" w:w="240"/>
              <w:bottom w:type="dxa" w:w="120"/>
              <w:right w:type="dxa" w:w="240"/>
            </w:tcMar>
          </w:tcPr>
          <w:p>
            <w:pPr>
              <w:spacing w:after="0" w:before="0"/>
              <w:jc w:val="center"/>
            </w:pPr>
            <w:r>
              <w:rPr>
                <w:rFonts w:ascii="Arial" w:cs="Arial" w:eastAsia="Arial" w:hAnsi="Arial"/>
                <w:b/>
                <w:bCs/>
                <w:color w:val="FFFFFF"/>
                <w:sz w:val="24"/>
                <w:szCs w:val="24"/>
              </w:rPr>
              <w:t xml:space="preserve">PART II — SUBSCRIPTION-SCALED MINING ECONOMY</w:t>
            </w:r>
          </w:p>
        </w:tc>
      </w:tr>
    </w:tbl>
    <w:p>
      <w:r>
        <w:rPr>
          <w:sz w:val="20"/>
          <w:szCs w:val="20"/>
        </w:rPr>
        <w:t xml:space="preserve"/>
      </w:r>
    </w:p>
    <w:p>
      <w:pPr>
        <w:pStyle w:val="Heading1"/>
        <w:pBdr>
          <w:bottom w:val="single" w:color="2D6BE4" w:sz="8" w:space="4"/>
        </w:pBdr>
        <w:spacing w:after="200" w:before="480"/>
      </w:pPr>
      <w:r>
        <w:rPr>
          <w:rFonts w:ascii="Arial" w:cs="Arial" w:eastAsia="Arial" w:hAnsi="Arial"/>
          <w:b/>
          <w:bCs/>
          <w:color w:val="1A2B6B"/>
          <w:sz w:val="36"/>
          <w:szCs w:val="36"/>
        </w:rPr>
        <w:t xml:space="preserve">5. Subscription-Driven Mining Capacity</w:t>
      </w:r>
    </w:p>
    <w:p>
      <w:pPr>
        <w:pStyle w:val="Heading2"/>
        <w:spacing w:after="120" w:before="320"/>
      </w:pPr>
      <w:r>
        <w:rPr>
          <w:rFonts w:ascii="Arial" w:cs="Arial" w:eastAsia="Arial" w:hAnsi="Arial"/>
          <w:b/>
          <w:bCs/>
          <w:color w:val="1A2B6B"/>
          <w:sz w:val="26"/>
          <w:szCs w:val="26"/>
        </w:rPr>
        <w:t xml:space="preserve">5.1  The Mining Capacity Theorem</w:t>
      </w:r>
    </w:p>
    <w:p>
      <w:pPr>
        <w:spacing w:after="80" w:before="60"/>
      </w:pPr>
      <w:r>
        <w:rPr>
          <w:rFonts w:ascii="Arial" w:cs="Arial" w:eastAsia="Arial" w:hAnsi="Arial"/>
          <w:color w:val="0A0F1E"/>
          <w:sz w:val="22"/>
          <w:szCs w:val="22"/>
        </w:rPr>
        <w:t xml:space="preserve">In v1.0, the daily mining ceiling was fixed by static tier caps (Starter: 20 AIONE/day, Pro: 50 AIONE/day). In v2.0, total global mining capacity is a live function of the total active subscription base. This creates a direct, measurable link between platform growth and total token issuance authority — the "Productive Capacity" backing in MMT terms.</w:t>
      </w:r>
    </w:p>
    <w:p>
      <w:r>
        <w:rPr>
          <w:sz w:val="20"/>
          <w:szCs w:val="20"/>
        </w:rPr>
        <w:t xml:space="preserve"/>
      </w:r>
    </w:p>
    <w:p>
      <w:pPr>
        <w:spacing w:after="80" w:before="80"/>
        <w:jc w:val="center"/>
      </w:pPr>
      <w:r>
        <w:rPr>
          <w:rFonts w:ascii="Arial" w:cs="Arial" w:eastAsia="Arial" w:hAnsi="Arial"/>
          <w:b/>
          <w:bCs/>
          <w:color w:val="1A2B6B"/>
          <w:sz w:val="23"/>
          <w:szCs w:val="23"/>
        </w:rPr>
        <w:t xml:space="preserve">GlobalDailyEmission(t)  =  Σ(Sub_i × TM_i)  ×  D⁻¹  ×  HalvingFactor</w:t>
      </w:r>
    </w:p>
    <w:p>
      <w:r>
        <w:rPr>
          <w:sz w:val="20"/>
          <w:szCs w:val="20"/>
        </w:rPr>
        <w:t xml:space="preserve"/>
      </w:r>
    </w:p>
    <w:p>
      <w:pPr>
        <w:spacing w:after="80" w:before="60"/>
      </w:pPr>
      <w:r>
        <w:rPr>
          <w:rFonts w:ascii="Arial" w:cs="Arial" w:eastAsia="Arial" w:hAnsi="Arial"/>
          <w:color w:val="0A0F1E"/>
          <w:sz w:val="22"/>
          <w:szCs w:val="22"/>
        </w:rPr>
        <w:t xml:space="preserve">Where Σ(Sub_i × TM_i) is the sum of all active subscription tiers weighted by their Mining Tier Multipliers. As more users subscribe at higher tiers, the network's aggregate daily issuance capacity expands — but is always bounded by the halving curve and network difficulty D.</w:t>
      </w:r>
    </w:p>
    <w:p>
      <w:pPr>
        <w:pStyle w:val="Heading2"/>
        <w:spacing w:after="120" w:before="320"/>
      </w:pPr>
      <w:r>
        <w:rPr>
          <w:rFonts w:ascii="Arial" w:cs="Arial" w:eastAsia="Arial" w:hAnsi="Arial"/>
          <w:b/>
          <w:bCs/>
          <w:color w:val="1A2B6B"/>
          <w:sz w:val="26"/>
          <w:szCs w:val="26"/>
        </w:rPr>
        <w:t xml:space="preserve">5.2  Why More Subscriptions = More Mining Capacity</w:t>
      </w:r>
    </w:p>
    <w:p>
      <w:pPr>
        <w:spacing w:after="80" w:before="60"/>
      </w:pPr>
      <w:r>
        <w:rPr>
          <w:rFonts w:ascii="Arial" w:cs="Arial" w:eastAsia="Arial" w:hAnsi="Arial"/>
          <w:color w:val="0A0F1E"/>
          <w:sz w:val="22"/>
          <w:szCs w:val="22"/>
        </w:rPr>
        <w:t xml:space="preserve">This design choice encodes three economic truths simultaneously:</w:t>
      </w:r>
    </w:p>
    <w:p>
      <w:pPr>
        <w:pStyle w:val="ListParagraph"/>
        <w:numPr>
          <w:ilvl w:val="0"/>
          <w:numId w:val="2"/>
        </w:numPr>
        <w:spacing w:after="40" w:before="40"/>
      </w:pPr>
      <w:r>
        <w:rPr>
          <w:rFonts w:ascii="Arial" w:cs="Arial" w:eastAsia="Arial" w:hAnsi="Arial"/>
          <w:color w:val="0A0F1E"/>
          <w:sz w:val="21"/>
          <w:szCs w:val="21"/>
        </w:rPr>
        <w:t xml:space="preserve">Subscriptions are productive activity: real fiat revenue backing real token issuance, not arbitrary inflation</w:t>
      </w:r>
    </w:p>
    <w:p>
      <w:pPr>
        <w:pStyle w:val="ListParagraph"/>
        <w:numPr>
          <w:ilvl w:val="0"/>
          <w:numId w:val="2"/>
        </w:numPr>
        <w:spacing w:after="40" w:before="40"/>
      </w:pPr>
      <w:r>
        <w:rPr>
          <w:rFonts w:ascii="Arial" w:cs="Arial" w:eastAsia="Arial" w:hAnsi="Arial"/>
          <w:color w:val="0A0F1E"/>
          <w:sz w:val="21"/>
          <w:szCs w:val="21"/>
        </w:rPr>
        <w:t xml:space="preserve">Higher subscription volume represents higher platform utility and thus higher legitimate "GDP" in AIONE's economy — justifying higher monetary base expansion</w:t>
      </w:r>
    </w:p>
    <w:p>
      <w:pPr>
        <w:pStyle w:val="ListParagraph"/>
        <w:numPr>
          <w:ilvl w:val="0"/>
          <w:numId w:val="2"/>
        </w:numPr>
        <w:spacing w:after="40" w:before="40"/>
      </w:pPr>
      <w:r>
        <w:rPr>
          <w:rFonts w:ascii="Arial" w:cs="Arial" w:eastAsia="Arial" w:hAnsi="Arial"/>
          <w:color w:val="0A0F1E"/>
          <w:sz w:val="21"/>
          <w:szCs w:val="21"/>
        </w:rPr>
        <w:t xml:space="preserve">The Dynamic Difficulty (D) still prevents hyperinflation: even if subscriptions explode, D rises proportionally, ensuring emission follows the halving schedule target</w:t>
      </w:r>
    </w:p>
    <w:p>
      <w:r>
        <w:rPr>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2D6BE4" w:sz="1"/>
              <w:left w:val="single" w:color="2D6BE4" w:sz="1"/>
              <w:bottom w:val="single" w:color="2D6BE4" w:sz="1"/>
              <w:right w:val="single" w:color="2D6BE4" w:sz="1"/>
            </w:tcBorders>
            <w:shd w:fill="1A2B6B" w:val="clear"/>
            <w:tcMar>
              <w:top w:type="dxa" w:w="80"/>
              <w:left w:type="dxa" w:w="120"/>
              <w:bottom w:type="dxa" w:w="80"/>
              <w:right w:type="dxa" w:w="120"/>
            </w:tcMar>
            <w:vAlign w:val="center"/>
          </w:tcPr>
          <w:p>
            <w:pPr>
              <w:spacing w:after="0" w:before="0"/>
              <w:jc w:val="center"/>
            </w:pPr>
            <w:r>
              <w:rPr>
                <w:rFonts w:ascii="Arial" w:cs="Arial" w:eastAsia="Arial" w:hAnsi="Arial"/>
                <w:b/>
                <w:bCs/>
                <w:color w:val="FFFFFF"/>
                <w:sz w:val="19"/>
                <w:szCs w:val="19"/>
              </w:rPr>
              <w:t xml:space="preserve">Active Subscriptions (Pro equiv.)</w:t>
            </w:r>
          </w:p>
        </w:tc>
        <w:tc>
          <w:tcPr>
            <w:tcW w:type="dxa" w:w="2340"/>
            <w:tcBorders>
              <w:top w:val="single" w:color="2D6BE4" w:sz="1"/>
              <w:left w:val="single" w:color="2D6BE4" w:sz="1"/>
              <w:bottom w:val="single" w:color="2D6BE4" w:sz="1"/>
              <w:right w:val="single" w:color="2D6BE4" w:sz="1"/>
            </w:tcBorders>
            <w:shd w:fill="1A2B6B" w:val="clear"/>
            <w:tcMar>
              <w:top w:type="dxa" w:w="80"/>
              <w:left w:type="dxa" w:w="120"/>
              <w:bottom w:type="dxa" w:w="80"/>
              <w:right w:type="dxa" w:w="120"/>
            </w:tcMar>
            <w:vAlign w:val="center"/>
          </w:tcPr>
          <w:p>
            <w:pPr>
              <w:spacing w:after="0" w:before="0"/>
              <w:jc w:val="center"/>
            </w:pPr>
            <w:r>
              <w:rPr>
                <w:rFonts w:ascii="Arial" w:cs="Arial" w:eastAsia="Arial" w:hAnsi="Arial"/>
                <w:b/>
                <w:bCs/>
                <w:color w:val="FFFFFF"/>
                <w:sz w:val="19"/>
                <w:szCs w:val="19"/>
              </w:rPr>
              <w:t xml:space="preserve">Monthly Subscription Revenue</w:t>
            </w:r>
          </w:p>
        </w:tc>
        <w:tc>
          <w:tcPr>
            <w:tcW w:type="dxa" w:w="2340"/>
            <w:tcBorders>
              <w:top w:val="single" w:color="2D6BE4" w:sz="1"/>
              <w:left w:val="single" w:color="2D6BE4" w:sz="1"/>
              <w:bottom w:val="single" w:color="2D6BE4" w:sz="1"/>
              <w:right w:val="single" w:color="2D6BE4" w:sz="1"/>
            </w:tcBorders>
            <w:shd w:fill="1A2B6B" w:val="clear"/>
            <w:tcMar>
              <w:top w:type="dxa" w:w="80"/>
              <w:left w:type="dxa" w:w="120"/>
              <w:bottom w:type="dxa" w:w="80"/>
              <w:right w:type="dxa" w:w="120"/>
            </w:tcMar>
            <w:vAlign w:val="center"/>
          </w:tcPr>
          <w:p>
            <w:pPr>
              <w:spacing w:after="0" w:before="0"/>
              <w:jc w:val="center"/>
            </w:pPr>
            <w:r>
              <w:rPr>
                <w:rFonts w:ascii="Arial" w:cs="Arial" w:eastAsia="Arial" w:hAnsi="Arial"/>
                <w:b/>
                <w:bCs/>
                <w:color w:val="FFFFFF"/>
                <w:sz w:val="19"/>
                <w:szCs w:val="19"/>
              </w:rPr>
              <w:t xml:space="preserve">Monthly Global Mining Capacity</w:t>
            </w:r>
          </w:p>
        </w:tc>
        <w:tc>
          <w:tcPr>
            <w:tcW w:type="dxa" w:w="2340"/>
            <w:tcBorders>
              <w:top w:val="single" w:color="2D6BE4" w:sz="1"/>
              <w:left w:val="single" w:color="2D6BE4" w:sz="1"/>
              <w:bottom w:val="single" w:color="2D6BE4" w:sz="1"/>
              <w:right w:val="single" w:color="2D6BE4" w:sz="1"/>
            </w:tcBorders>
            <w:shd w:fill="1A2B6B" w:val="clear"/>
            <w:tcMar>
              <w:top w:type="dxa" w:w="80"/>
              <w:left w:type="dxa" w:w="120"/>
              <w:bottom w:type="dxa" w:w="80"/>
              <w:right w:type="dxa" w:w="120"/>
            </w:tcMar>
            <w:vAlign w:val="center"/>
          </w:tcPr>
          <w:p>
            <w:pPr>
              <w:spacing w:after="0" w:before="0"/>
              <w:jc w:val="center"/>
            </w:pPr>
            <w:r>
              <w:rPr>
                <w:rFonts w:ascii="Arial" w:cs="Arial" w:eastAsia="Arial" w:hAnsi="Arial"/>
                <w:b/>
                <w:bCs/>
                <w:color w:val="FFFFFF"/>
                <w:sz w:val="19"/>
                <w:szCs w:val="19"/>
              </w:rPr>
              <w:t xml:space="preserve">Daily Emission Ceiling</w:t>
            </w:r>
          </w:p>
        </w:tc>
      </w:tr>
      <w:tr>
        <w:tc>
          <w:tcPr>
            <w:tcW w:type="dxa" w:w="234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10,000</w:t>
            </w:r>
          </w:p>
        </w:tc>
        <w:tc>
          <w:tcPr>
            <w:tcW w:type="dxa" w:w="234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~$236K</w:t>
            </w:r>
          </w:p>
        </w:tc>
        <w:tc>
          <w:tcPr>
            <w:tcW w:type="dxa" w:w="234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~5M AIONE/month</w:t>
            </w:r>
          </w:p>
        </w:tc>
        <w:tc>
          <w:tcPr>
            <w:tcW w:type="dxa" w:w="234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~167K AIONE/day</w:t>
            </w:r>
          </w:p>
        </w:tc>
      </w:tr>
      <w:tr>
        <w:tc>
          <w:tcPr>
            <w:tcW w:type="dxa" w:w="234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50,000</w:t>
            </w:r>
          </w:p>
        </w:tc>
        <w:tc>
          <w:tcPr>
            <w:tcW w:type="dxa" w:w="234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~$1.18M</w:t>
            </w:r>
          </w:p>
        </w:tc>
        <w:tc>
          <w:tcPr>
            <w:tcW w:type="dxa" w:w="234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~18M AIONE/month</w:t>
            </w:r>
          </w:p>
        </w:tc>
        <w:tc>
          <w:tcPr>
            <w:tcW w:type="dxa" w:w="234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~600K AIONE/day</w:t>
            </w:r>
          </w:p>
        </w:tc>
      </w:tr>
      <w:tr>
        <w:tc>
          <w:tcPr>
            <w:tcW w:type="dxa" w:w="234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100,000</w:t>
            </w:r>
          </w:p>
        </w:tc>
        <w:tc>
          <w:tcPr>
            <w:tcW w:type="dxa" w:w="234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~$2.36M</w:t>
            </w:r>
          </w:p>
        </w:tc>
        <w:tc>
          <w:tcPr>
            <w:tcW w:type="dxa" w:w="234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~30M AIONE/month</w:t>
            </w:r>
          </w:p>
        </w:tc>
        <w:tc>
          <w:tcPr>
            <w:tcW w:type="dxa" w:w="234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~1M AIONE/day</w:t>
            </w:r>
          </w:p>
        </w:tc>
      </w:tr>
      <w:tr>
        <w:tc>
          <w:tcPr>
            <w:tcW w:type="dxa" w:w="234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500,000</w:t>
            </w:r>
          </w:p>
        </w:tc>
        <w:tc>
          <w:tcPr>
            <w:tcW w:type="dxa" w:w="234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~$11.8M</w:t>
            </w:r>
          </w:p>
        </w:tc>
        <w:tc>
          <w:tcPr>
            <w:tcW w:type="dxa" w:w="234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~80M AIONE/month</w:t>
            </w:r>
          </w:p>
        </w:tc>
        <w:tc>
          <w:tcPr>
            <w:tcW w:type="dxa" w:w="234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~2.67M AIONE/day</w:t>
            </w:r>
          </w:p>
        </w:tc>
      </w:tr>
      <w:tr>
        <w:tc>
          <w:tcPr>
            <w:tcW w:type="dxa" w:w="234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1,000,000+</w:t>
            </w:r>
          </w:p>
        </w:tc>
        <w:tc>
          <w:tcPr>
            <w:tcW w:type="dxa" w:w="234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~$23.6M+</w:t>
            </w:r>
          </w:p>
        </w:tc>
        <w:tc>
          <w:tcPr>
            <w:tcW w:type="dxa" w:w="234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~120M AIONE/month</w:t>
            </w:r>
          </w:p>
        </w:tc>
        <w:tc>
          <w:tcPr>
            <w:tcW w:type="dxa" w:w="234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~4M AIONE/day (capped by halving)</w:t>
            </w:r>
          </w:p>
        </w:tc>
      </w:tr>
    </w:tbl>
    <w:p>
      <w:r>
        <w:rPr>
          <w:sz w:val="20"/>
          <w:szCs w:val="20"/>
        </w:rPr>
        <w:t xml:space="preserve"/>
      </w:r>
    </w:p>
    <w:p>
      <w:pPr>
        <w:pStyle w:val="Heading2"/>
        <w:spacing w:after="120" w:before="320"/>
      </w:pPr>
      <w:r>
        <w:rPr>
          <w:rFonts w:ascii="Arial" w:cs="Arial" w:eastAsia="Arial" w:hAnsi="Arial"/>
          <w:b/>
          <w:bCs/>
          <w:color w:val="1A2B6B"/>
          <w:sz w:val="26"/>
          <w:szCs w:val="26"/>
        </w:rPr>
        <w:t xml:space="preserve">5.3  Per-User Mining Cap Scaling</w:t>
      </w:r>
    </w:p>
    <w:p>
      <w:pPr>
        <w:spacing w:after="80" w:before="60"/>
      </w:pPr>
      <w:r>
        <w:rPr>
          <w:rFonts w:ascii="Arial" w:cs="Arial" w:eastAsia="Arial" w:hAnsi="Arial"/>
          <w:color w:val="0A0F1E"/>
          <w:sz w:val="22"/>
          <w:szCs w:val="22"/>
        </w:rPr>
        <w:t xml:space="preserve">Individual daily mining caps in v2.0 are also subscription-responsive: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2D6BE4" w:sz="1"/>
              <w:left w:val="single" w:color="2D6BE4" w:sz="1"/>
              <w:bottom w:val="single" w:color="2D6BE4" w:sz="1"/>
              <w:right w:val="single" w:color="2D6BE4" w:sz="1"/>
            </w:tcBorders>
            <w:shd w:fill="1A2B6B" w:val="clear"/>
            <w:tcMar>
              <w:top w:type="dxa" w:w="80"/>
              <w:left w:type="dxa" w:w="120"/>
              <w:bottom w:type="dxa" w:w="80"/>
              <w:right w:type="dxa" w:w="120"/>
            </w:tcMar>
            <w:vAlign w:val="center"/>
          </w:tcPr>
          <w:p>
            <w:pPr>
              <w:spacing w:after="0" w:before="0"/>
              <w:jc w:val="center"/>
            </w:pPr>
            <w:r>
              <w:rPr>
                <w:rFonts w:ascii="Arial" w:cs="Arial" w:eastAsia="Arial" w:hAnsi="Arial"/>
                <w:b/>
                <w:bCs/>
                <w:color w:val="FFFFFF"/>
                <w:sz w:val="19"/>
                <w:szCs w:val="19"/>
              </w:rPr>
              <w:t xml:space="preserve">Subscription Tier</w:t>
            </w:r>
          </w:p>
        </w:tc>
        <w:tc>
          <w:tcPr>
            <w:tcW w:type="dxa" w:w="2340"/>
            <w:tcBorders>
              <w:top w:val="single" w:color="2D6BE4" w:sz="1"/>
              <w:left w:val="single" w:color="2D6BE4" w:sz="1"/>
              <w:bottom w:val="single" w:color="2D6BE4" w:sz="1"/>
              <w:right w:val="single" w:color="2D6BE4" w:sz="1"/>
            </w:tcBorders>
            <w:shd w:fill="1A2B6B" w:val="clear"/>
            <w:tcMar>
              <w:top w:type="dxa" w:w="80"/>
              <w:left w:type="dxa" w:w="120"/>
              <w:bottom w:type="dxa" w:w="80"/>
              <w:right w:type="dxa" w:w="120"/>
            </w:tcMar>
            <w:vAlign w:val="center"/>
          </w:tcPr>
          <w:p>
            <w:pPr>
              <w:spacing w:after="0" w:before="0"/>
              <w:jc w:val="center"/>
            </w:pPr>
            <w:r>
              <w:rPr>
                <w:rFonts w:ascii="Arial" w:cs="Arial" w:eastAsia="Arial" w:hAnsi="Arial"/>
                <w:b/>
                <w:bCs/>
                <w:color w:val="FFFFFF"/>
                <w:sz w:val="19"/>
                <w:szCs w:val="19"/>
              </w:rPr>
              <w:t xml:space="preserve">Base Daily Mining Cap</w:t>
            </w:r>
          </w:p>
        </w:tc>
        <w:tc>
          <w:tcPr>
            <w:tcW w:type="dxa" w:w="2340"/>
            <w:tcBorders>
              <w:top w:val="single" w:color="2D6BE4" w:sz="1"/>
              <w:left w:val="single" w:color="2D6BE4" w:sz="1"/>
              <w:bottom w:val="single" w:color="2D6BE4" w:sz="1"/>
              <w:right w:val="single" w:color="2D6BE4" w:sz="1"/>
            </w:tcBorders>
            <w:shd w:fill="1A2B6B" w:val="clear"/>
            <w:tcMar>
              <w:top w:type="dxa" w:w="80"/>
              <w:left w:type="dxa" w:w="120"/>
              <w:bottom w:type="dxa" w:w="80"/>
              <w:right w:type="dxa" w:w="120"/>
            </w:tcMar>
            <w:vAlign w:val="center"/>
          </w:tcPr>
          <w:p>
            <w:pPr>
              <w:spacing w:after="0" w:before="0"/>
              <w:jc w:val="center"/>
            </w:pPr>
            <w:r>
              <w:rPr>
                <w:rFonts w:ascii="Arial" w:cs="Arial" w:eastAsia="Arial" w:hAnsi="Arial"/>
                <w:b/>
                <w:bCs/>
                <w:color w:val="FFFFFF"/>
                <w:sz w:val="19"/>
                <w:szCs w:val="19"/>
              </w:rPr>
              <w:t xml:space="preserve">With 365-day Lock</w:t>
            </w:r>
          </w:p>
        </w:tc>
        <w:tc>
          <w:tcPr>
            <w:tcW w:type="dxa" w:w="2340"/>
            <w:tcBorders>
              <w:top w:val="single" w:color="2D6BE4" w:sz="1"/>
              <w:left w:val="single" w:color="2D6BE4" w:sz="1"/>
              <w:bottom w:val="single" w:color="2D6BE4" w:sz="1"/>
              <w:right w:val="single" w:color="2D6BE4" w:sz="1"/>
            </w:tcBorders>
            <w:shd w:fill="1A2B6B" w:val="clear"/>
            <w:tcMar>
              <w:top w:type="dxa" w:w="80"/>
              <w:left w:type="dxa" w:w="120"/>
              <w:bottom w:type="dxa" w:w="80"/>
              <w:right w:type="dxa" w:w="120"/>
            </w:tcMar>
            <w:vAlign w:val="center"/>
          </w:tcPr>
          <w:p>
            <w:pPr>
              <w:spacing w:after="0" w:before="0"/>
              <w:jc w:val="center"/>
            </w:pPr>
            <w:r>
              <w:rPr>
                <w:rFonts w:ascii="Arial" w:cs="Arial" w:eastAsia="Arial" w:hAnsi="Arial"/>
                <w:b/>
                <w:bCs/>
                <w:color w:val="FFFFFF"/>
                <w:sz w:val="19"/>
                <w:szCs w:val="19"/>
              </w:rPr>
              <w:t xml:space="preserve">With Super Node Stake</w:t>
            </w:r>
          </w:p>
        </w:tc>
      </w:tr>
      <w:tr>
        <w:tc>
          <w:tcPr>
            <w:tcW w:type="dxa" w:w="234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Starter Monthly</w:t>
            </w:r>
          </w:p>
        </w:tc>
        <w:tc>
          <w:tcPr>
            <w:tcW w:type="dxa" w:w="234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20 AIONE/day</w:t>
            </w:r>
          </w:p>
        </w:tc>
        <w:tc>
          <w:tcPr>
            <w:tcW w:type="dxa" w:w="234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40 AIONE/day (2.0× LM)</w:t>
            </w:r>
          </w:p>
        </w:tc>
        <w:tc>
          <w:tcPr>
            <w:tcW w:type="dxa" w:w="234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80 AIONE/day (×4 SF)</w:t>
            </w:r>
          </w:p>
        </w:tc>
      </w:tr>
      <w:tr>
        <w:tc>
          <w:tcPr>
            <w:tcW w:type="dxa" w:w="234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Pro Quarterly</w:t>
            </w:r>
          </w:p>
        </w:tc>
        <w:tc>
          <w:tcPr>
            <w:tcW w:type="dxa" w:w="234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50 AIONE/day</w:t>
            </w:r>
          </w:p>
        </w:tc>
        <w:tc>
          <w:tcPr>
            <w:tcW w:type="dxa" w:w="234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100 AIONE/day</w:t>
            </w:r>
          </w:p>
        </w:tc>
        <w:tc>
          <w:tcPr>
            <w:tcW w:type="dxa" w:w="234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400 AIONE/day</w:t>
            </w:r>
          </w:p>
        </w:tc>
      </w:tr>
      <w:tr>
        <w:tc>
          <w:tcPr>
            <w:tcW w:type="dxa" w:w="234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Power Half-Year</w:t>
            </w:r>
          </w:p>
        </w:tc>
        <w:tc>
          <w:tcPr>
            <w:tcW w:type="dxa" w:w="234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120 AIONE/day</w:t>
            </w:r>
          </w:p>
        </w:tc>
        <w:tc>
          <w:tcPr>
            <w:tcW w:type="dxa" w:w="234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240 AIONE/day</w:t>
            </w:r>
          </w:p>
        </w:tc>
        <w:tc>
          <w:tcPr>
            <w:tcW w:type="dxa" w:w="234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960 AIONE/day</w:t>
            </w:r>
          </w:p>
        </w:tc>
      </w:tr>
      <w:tr>
        <w:tc>
          <w:tcPr>
            <w:tcW w:type="dxa" w:w="234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Elite Annual</w:t>
            </w:r>
          </w:p>
        </w:tc>
        <w:tc>
          <w:tcPr>
            <w:tcW w:type="dxa" w:w="234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300 AIONE/day</w:t>
            </w:r>
          </w:p>
        </w:tc>
        <w:tc>
          <w:tcPr>
            <w:tcW w:type="dxa" w:w="234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600 AIONE/day</w:t>
            </w:r>
          </w:p>
        </w:tc>
        <w:tc>
          <w:tcPr>
            <w:tcW w:type="dxa" w:w="234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2,400 AIONE/day</w:t>
            </w:r>
          </w:p>
        </w:tc>
      </w:tr>
      <w:tr>
        <w:tc>
          <w:tcPr>
            <w:tcW w:type="dxa" w:w="234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Enterprise API</w:t>
            </w:r>
          </w:p>
        </w:tc>
        <w:tc>
          <w:tcPr>
            <w:tcW w:type="dxa" w:w="234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Unlimited (D-bounded)</w:t>
            </w:r>
          </w:p>
        </w:tc>
        <w:tc>
          <w:tcPr>
            <w:tcW w:type="dxa" w:w="234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Unlimited (D-bounded)</w:t>
            </w:r>
          </w:p>
        </w:tc>
        <w:tc>
          <w:tcPr>
            <w:tcW w:type="dxa" w:w="234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Unlimited (D-bounded)</w:t>
            </w:r>
          </w:p>
        </w:tc>
      </w:tr>
    </w:tbl>
    <w:p>
      <w:r>
        <w:rPr>
          <w:sz w:val="20"/>
          <w:szCs w:val="20"/>
        </w:rPr>
        <w:t xml:space="preserve"/>
      </w:r>
    </w:p>
    <w:p>
      <w:pPr>
        <w:pStyle w:val="Heading1"/>
        <w:pBdr>
          <w:bottom w:val="single" w:color="2D6BE4" w:sz="8" w:space="4"/>
        </w:pBdr>
        <w:spacing w:after="200" w:before="480"/>
      </w:pPr>
      <w:r>
        <w:rPr>
          <w:rFonts w:ascii="Arial" w:cs="Arial" w:eastAsia="Arial" w:hAnsi="Arial"/>
          <w:b/>
          <w:bCs/>
          <w:color w:val="1A2B6B"/>
          <w:sz w:val="36"/>
          <w:szCs w:val="36"/>
        </w:rPr>
        <w:t xml:space="preserve">6. Proof of Usage 2.0 (PoU²) — Mining Algorithm</w:t>
      </w:r>
    </w:p>
    <w:p>
      <w:pPr>
        <w:pStyle w:val="Heading2"/>
        <w:spacing w:after="120" w:before="320"/>
      </w:pPr>
      <w:r>
        <w:rPr>
          <w:rFonts w:ascii="Arial" w:cs="Arial" w:eastAsia="Arial" w:hAnsi="Arial"/>
          <w:b/>
          <w:bCs/>
          <w:color w:val="1A2B6B"/>
          <w:sz w:val="26"/>
          <w:szCs w:val="26"/>
        </w:rPr>
        <w:t xml:space="preserve">6.1  Upgraded Mining Formula</w:t>
      </w:r>
    </w:p>
    <w:p>
      <w:pPr>
        <w:spacing w:after="80" w:before="60"/>
      </w:pPr>
      <w:r>
        <w:rPr>
          <w:rFonts w:ascii="Arial" w:cs="Arial" w:eastAsia="Arial" w:hAnsi="Arial"/>
          <w:color w:val="0A0F1E"/>
          <w:sz w:val="22"/>
          <w:szCs w:val="22"/>
        </w:rPr>
        <w:t xml:space="preserve">The v2.0 mining reward formula extends the v1.0 base with two new variables: the Subscription Scale Factor (SSF) reflecting network subscription momentum, and the Debt Amplifier (DA) which rewards users participating in the Future-Forward Debt Economy:</w:t>
      </w:r>
    </w:p>
    <w:p>
      <w:r>
        <w:rPr>
          <w:sz w:val="20"/>
          <w:szCs w:val="20"/>
        </w:rPr>
        <w:t xml:space="preserve"/>
      </w:r>
    </w:p>
    <w:p>
      <w:pPr>
        <w:spacing w:after="80" w:before="80"/>
        <w:jc w:val="center"/>
      </w:pPr>
      <w:r>
        <w:rPr>
          <w:rFonts w:ascii="Arial" w:cs="Arial" w:eastAsia="Arial" w:hAnsi="Arial"/>
          <w:b/>
          <w:bCs/>
          <w:color w:val="1A2B6B"/>
          <w:sz w:val="24"/>
          <w:szCs w:val="24"/>
        </w:rPr>
        <w:t xml:space="preserve">R  =  CU  ×  MW  ×  TM  ×  SF  ×  SSF  ×  DA  ×  (1 / D)</w:t>
      </w:r>
    </w:p>
    <w:p>
      <w:r>
        <w:rPr>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2D6BE4" w:sz="1"/>
              <w:left w:val="single" w:color="2D6BE4" w:sz="1"/>
              <w:bottom w:val="single" w:color="2D6BE4" w:sz="1"/>
              <w:right w:val="single" w:color="2D6BE4" w:sz="1"/>
            </w:tcBorders>
            <w:shd w:fill="1A2B6B" w:val="clear"/>
            <w:tcMar>
              <w:top w:type="dxa" w:w="80"/>
              <w:left w:type="dxa" w:w="120"/>
              <w:bottom w:type="dxa" w:w="80"/>
              <w:right w:type="dxa" w:w="120"/>
            </w:tcMar>
            <w:vAlign w:val="center"/>
          </w:tcPr>
          <w:p>
            <w:pPr>
              <w:spacing w:after="0" w:before="0"/>
              <w:jc w:val="center"/>
            </w:pPr>
            <w:r>
              <w:rPr>
                <w:rFonts w:ascii="Arial" w:cs="Arial" w:eastAsia="Arial" w:hAnsi="Arial"/>
                <w:b/>
                <w:bCs/>
                <w:color w:val="FFFFFF"/>
                <w:sz w:val="19"/>
                <w:szCs w:val="19"/>
              </w:rPr>
              <w:t xml:space="preserve">Variable</w:t>
            </w:r>
          </w:p>
        </w:tc>
        <w:tc>
          <w:tcPr>
            <w:tcW w:type="dxa" w:w="3120"/>
            <w:tcBorders>
              <w:top w:val="single" w:color="2D6BE4" w:sz="1"/>
              <w:left w:val="single" w:color="2D6BE4" w:sz="1"/>
              <w:bottom w:val="single" w:color="2D6BE4" w:sz="1"/>
              <w:right w:val="single" w:color="2D6BE4" w:sz="1"/>
            </w:tcBorders>
            <w:shd w:fill="1A2B6B" w:val="clear"/>
            <w:tcMar>
              <w:top w:type="dxa" w:w="80"/>
              <w:left w:type="dxa" w:w="120"/>
              <w:bottom w:type="dxa" w:w="80"/>
              <w:right w:type="dxa" w:w="120"/>
            </w:tcMar>
            <w:vAlign w:val="center"/>
          </w:tcPr>
          <w:p>
            <w:pPr>
              <w:spacing w:after="0" w:before="0"/>
              <w:jc w:val="center"/>
            </w:pPr>
            <w:r>
              <w:rPr>
                <w:rFonts w:ascii="Arial" w:cs="Arial" w:eastAsia="Arial" w:hAnsi="Arial"/>
                <w:b/>
                <w:bCs/>
                <w:color w:val="FFFFFF"/>
                <w:sz w:val="19"/>
                <w:szCs w:val="19"/>
              </w:rPr>
              <w:t xml:space="preserve">Name</w:t>
            </w:r>
          </w:p>
        </w:tc>
        <w:tc>
          <w:tcPr>
            <w:tcW w:type="dxa" w:w="3120"/>
            <w:tcBorders>
              <w:top w:val="single" w:color="2D6BE4" w:sz="1"/>
              <w:left w:val="single" w:color="2D6BE4" w:sz="1"/>
              <w:bottom w:val="single" w:color="2D6BE4" w:sz="1"/>
              <w:right w:val="single" w:color="2D6BE4" w:sz="1"/>
            </w:tcBorders>
            <w:shd w:fill="1A2B6B" w:val="clear"/>
            <w:tcMar>
              <w:top w:type="dxa" w:w="80"/>
              <w:left w:type="dxa" w:w="120"/>
              <w:bottom w:type="dxa" w:w="80"/>
              <w:right w:type="dxa" w:w="120"/>
            </w:tcMar>
            <w:vAlign w:val="center"/>
          </w:tcPr>
          <w:p>
            <w:pPr>
              <w:spacing w:after="0" w:before="0"/>
              <w:jc w:val="center"/>
            </w:pPr>
            <w:r>
              <w:rPr>
                <w:rFonts w:ascii="Arial" w:cs="Arial" w:eastAsia="Arial" w:hAnsi="Arial"/>
                <w:b/>
                <w:bCs/>
                <w:color w:val="FFFFFF"/>
                <w:sz w:val="19"/>
                <w:szCs w:val="19"/>
              </w:rPr>
              <w:t xml:space="preserve">Description</w:t>
            </w:r>
          </w:p>
        </w:tc>
      </w:tr>
      <w:tr>
        <w:tc>
          <w:tcPr>
            <w:tcW w:type="dxa" w:w="312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R</w:t>
            </w:r>
          </w:p>
        </w:tc>
        <w:tc>
          <w:tcPr>
            <w:tcW w:type="dxa" w:w="312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Mining Reward</w:t>
            </w:r>
          </w:p>
        </w:tc>
        <w:tc>
          <w:tcPr>
            <w:tcW w:type="dxa" w:w="312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AIONE tokens earned in this session</w:t>
            </w:r>
          </w:p>
        </w:tc>
      </w:tr>
      <w:tr>
        <w:tc>
          <w:tcPr>
            <w:tcW w:type="dxa" w:w="312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CU</w:t>
            </w:r>
          </w:p>
        </w:tc>
        <w:tc>
          <w:tcPr>
            <w:tcW w:type="dxa" w:w="312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Compute Units</w:t>
            </w:r>
          </w:p>
        </w:tc>
        <w:tc>
          <w:tcPr>
            <w:tcW w:type="dxa" w:w="312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Normalised measure of AI compute consumed</w:t>
            </w:r>
          </w:p>
        </w:tc>
      </w:tr>
      <w:tr>
        <w:tc>
          <w:tcPr>
            <w:tcW w:type="dxa" w:w="312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MW</w:t>
            </w:r>
          </w:p>
        </w:tc>
        <w:tc>
          <w:tcPr>
            <w:tcW w:type="dxa" w:w="312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Model Weight</w:t>
            </w:r>
          </w:p>
        </w:tc>
        <w:tc>
          <w:tcPr>
            <w:tcW w:type="dxa" w:w="312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Multiplier reflecting model tier (1.0× – 10.0×)</w:t>
            </w:r>
          </w:p>
        </w:tc>
      </w:tr>
      <w:tr>
        <w:tc>
          <w:tcPr>
            <w:tcW w:type="dxa" w:w="312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TM</w:t>
            </w:r>
          </w:p>
        </w:tc>
        <w:tc>
          <w:tcPr>
            <w:tcW w:type="dxa" w:w="312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Tier Multiplier</w:t>
            </w:r>
          </w:p>
        </w:tc>
        <w:tc>
          <w:tcPr>
            <w:tcW w:type="dxa" w:w="312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Subscription tier bonus (1.0× – 3.0×)</w:t>
            </w:r>
          </w:p>
        </w:tc>
      </w:tr>
      <w:tr>
        <w:tc>
          <w:tcPr>
            <w:tcW w:type="dxa" w:w="312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SF</w:t>
            </w:r>
          </w:p>
        </w:tc>
        <w:tc>
          <w:tcPr>
            <w:tcW w:type="dxa" w:w="312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Stake Factor</w:t>
            </w:r>
          </w:p>
        </w:tc>
        <w:tc>
          <w:tcPr>
            <w:tcW w:type="dxa" w:w="312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Node staking bonus (1.0× – 4.0×)</w:t>
            </w:r>
          </w:p>
        </w:tc>
      </w:tr>
      <w:tr>
        <w:tc>
          <w:tcPr>
            <w:tcW w:type="dxa" w:w="312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SSF</w:t>
            </w:r>
          </w:p>
        </w:tc>
        <w:tc>
          <w:tcPr>
            <w:tcW w:type="dxa" w:w="312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Subscription Scale Factor</w:t>
            </w:r>
          </w:p>
        </w:tc>
        <w:tc>
          <w:tcPr>
            <w:tcW w:type="dxa" w:w="312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Network-level multiplier rising with total subscriber count (see §6.2)</w:t>
            </w:r>
          </w:p>
        </w:tc>
      </w:tr>
      <w:tr>
        <w:tc>
          <w:tcPr>
            <w:tcW w:type="dxa" w:w="312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DA</w:t>
            </w:r>
          </w:p>
        </w:tc>
        <w:tc>
          <w:tcPr>
            <w:tcW w:type="dxa" w:w="312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Debt Amplifier</w:t>
            </w:r>
          </w:p>
        </w:tc>
        <w:tc>
          <w:tcPr>
            <w:tcW w:type="dxa" w:w="312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Bonus for users holding active Mining Debt Certificates (see §7.3)</w:t>
            </w:r>
          </w:p>
        </w:tc>
      </w:tr>
      <w:tr>
        <w:tc>
          <w:tcPr>
            <w:tcW w:type="dxa" w:w="312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D</w:t>
            </w:r>
          </w:p>
        </w:tc>
        <w:tc>
          <w:tcPr>
            <w:tcW w:type="dxa" w:w="312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Network Difficulty</w:t>
            </w:r>
          </w:p>
        </w:tc>
        <w:tc>
          <w:tcPr>
            <w:tcW w:type="dxa" w:w="312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Global coefficient adjusted monthly; prevents hyperinflation</w:t>
            </w:r>
          </w:p>
        </w:tc>
      </w:tr>
    </w:tbl>
    <w:p>
      <w:r>
        <w:rPr>
          <w:sz w:val="20"/>
          <w:szCs w:val="20"/>
        </w:rPr>
        <w:t xml:space="preserve"/>
      </w:r>
    </w:p>
    <w:p>
      <w:pPr>
        <w:pStyle w:val="Heading2"/>
        <w:spacing w:after="120" w:before="320"/>
      </w:pPr>
      <w:r>
        <w:rPr>
          <w:rFonts w:ascii="Arial" w:cs="Arial" w:eastAsia="Arial" w:hAnsi="Arial"/>
          <w:b/>
          <w:bCs/>
          <w:color w:val="1A2B6B"/>
          <w:sz w:val="26"/>
          <w:szCs w:val="26"/>
        </w:rPr>
        <w:t xml:space="preserve">6.2  Subscription Scale Factor (SSF)</w:t>
      </w:r>
    </w:p>
    <w:p>
      <w:pPr>
        <w:spacing w:after="80" w:before="60"/>
      </w:pPr>
      <w:r>
        <w:rPr>
          <w:rFonts w:ascii="Arial" w:cs="Arial" w:eastAsia="Arial" w:hAnsi="Arial"/>
          <w:color w:val="0A0F1E"/>
          <w:sz w:val="22"/>
          <w:szCs w:val="22"/>
        </w:rPr>
        <w:t xml:space="preserve">SSF is a network-wide multiplier that rewards early adopters and scales with ecosystem growth. It is calculated monthly from the ratio of current active subscriptions to the baseline at the last halving event:</w:t>
      </w:r>
    </w:p>
    <w:p>
      <w:r>
        <w:rPr>
          <w:sz w:val="20"/>
          <w:szCs w:val="20"/>
        </w:rPr>
        <w:t xml:space="preserve"/>
      </w:r>
    </w:p>
    <w:p>
      <w:pPr>
        <w:spacing w:after="60" w:before="60"/>
        <w:jc w:val="center"/>
      </w:pPr>
      <w:r>
        <w:rPr>
          <w:rFonts w:ascii="Arial" w:cs="Arial" w:eastAsia="Arial" w:hAnsi="Arial"/>
          <w:b/>
          <w:bCs/>
          <w:color w:val="1A2B6B"/>
          <w:sz w:val="22"/>
          <w:szCs w:val="22"/>
        </w:rPr>
        <w:t xml:space="preserve">SSF  =  min(2.0,  1.0 + 0.1 × log₂(ActiveSubs / BaseSubs))</w:t>
      </w:r>
    </w:p>
    <w:p>
      <w:r>
        <w:rPr>
          <w:sz w:val="20"/>
          <w:szCs w:val="20"/>
        </w:rPr>
        <w:t xml:space="preserve"/>
      </w:r>
    </w:p>
    <w:p>
      <w:pPr>
        <w:spacing w:after="80" w:before="60"/>
      </w:pPr>
      <w:r>
        <w:rPr>
          <w:rFonts w:ascii="Arial" w:cs="Arial" w:eastAsia="Arial" w:hAnsi="Arial"/>
          <w:color w:val="0A0F1E"/>
          <w:sz w:val="22"/>
          <w:szCs w:val="22"/>
        </w:rPr>
        <w:t xml:space="preserve">When the network is at its baseline (e.g., 10,000 subs), SSF = 1.0. When subscriptions double, SSF = 1.1. At 10× baseline, SSF = 1.33. At 1000× baseline, SSF caps at 2.0. This ensures early miners earn more while preventing infinite escalation.</w:t>
      </w:r>
    </w:p>
    <w:p>
      <w:pPr>
        <w:pStyle w:val="Heading2"/>
        <w:spacing w:after="120" w:before="320"/>
      </w:pPr>
      <w:r>
        <w:rPr>
          <w:rFonts w:ascii="Arial" w:cs="Arial" w:eastAsia="Arial" w:hAnsi="Arial"/>
          <w:b/>
          <w:bCs/>
          <w:color w:val="1A2B6B"/>
          <w:sz w:val="26"/>
          <w:szCs w:val="26"/>
        </w:rPr>
        <w:t xml:space="preserve">6.3  Model Weight, Compute Units &amp; Anti-Manipulation (carried from v1)</w:t>
      </w:r>
    </w:p>
    <w:p>
      <w:pPr>
        <w:spacing w:after="80" w:before="60"/>
      </w:pPr>
      <w:r>
        <w:rPr>
          <w:rFonts w:ascii="Arial" w:cs="Arial" w:eastAsia="Arial" w:hAnsi="Arial"/>
          <w:color w:val="0A0F1E"/>
          <w:sz w:val="22"/>
          <w:szCs w:val="22"/>
        </w:rPr>
        <w:t xml:space="preserve">CU calculation, MW tiers, and all anti-manipulation safeguards from v1.0 (§5.3–§5.7) remain in force. Refer to v1.0 specification for base values. New v2.0 additions:</w:t>
      </w:r>
    </w:p>
    <w:p>
      <w:pPr>
        <w:pStyle w:val="ListParagraph"/>
        <w:numPr>
          <w:ilvl w:val="0"/>
          <w:numId w:val="2"/>
        </w:numPr>
        <w:spacing w:after="40" w:before="40"/>
      </w:pPr>
      <w:r>
        <w:rPr>
          <w:rFonts w:ascii="Arial" w:cs="Arial" w:eastAsia="Arial" w:hAnsi="Arial"/>
          <w:color w:val="0A0F1E"/>
          <w:sz w:val="21"/>
          <w:szCs w:val="21"/>
        </w:rPr>
        <w:t xml:space="preserve">Subscription age bonus: users subscribed for 6+ continuous months receive +10% CU credit on all sessions</w:t>
      </w:r>
    </w:p>
    <w:p>
      <w:pPr>
        <w:pStyle w:val="ListParagraph"/>
        <w:numPr>
          <w:ilvl w:val="0"/>
          <w:numId w:val="2"/>
        </w:numPr>
        <w:spacing w:after="40" w:before="40"/>
      </w:pPr>
      <w:r>
        <w:rPr>
          <w:rFonts w:ascii="Arial" w:cs="Arial" w:eastAsia="Arial" w:hAnsi="Arial"/>
          <w:color w:val="0A0F1E"/>
          <w:sz w:val="21"/>
          <w:szCs w:val="21"/>
        </w:rPr>
        <w:t xml:space="preserve">Loyalty streak multiplier: 12 consecutive months without lapse → permanent +15% on TM for that account</w:t>
      </w:r>
    </w:p>
    <w:p>
      <w:pPr>
        <w:pStyle w:val="ListParagraph"/>
        <w:numPr>
          <w:ilvl w:val="0"/>
          <w:numId w:val="2"/>
        </w:numPr>
        <w:spacing w:after="40" w:before="40"/>
      </w:pPr>
      <w:r>
        <w:rPr>
          <w:rFonts w:ascii="Arial" w:cs="Arial" w:eastAsia="Arial" w:hAnsi="Arial"/>
          <w:color w:val="0A0F1E"/>
          <w:sz w:val="21"/>
          <w:szCs w:val="21"/>
        </w:rPr>
        <w:t xml:space="preserve">Referral yield: referred subscribers generate 5% of their mining yield as a bonus to the referrer (capped at 100 referrals)</w:t>
      </w:r>
    </w:p>
    <w:p>
      <w:r>
        <w:rPr>
          <w:sz w:val="20"/>
          <w:szCs w:val="20"/>
        </w:rPr>
        <w:t xml:space="preserve"/>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D6BE4" w:sz="1"/>
              <w:left w:val="single" w:color="B8860B" w:sz="1"/>
              <w:bottom w:val="single" w:color="2D6BE4" w:sz="1"/>
              <w:right w:val="single" w:color="B8860B" w:sz="1"/>
            </w:tcBorders>
            <w:shd w:fill="B8860B" w:val="clear"/>
            <w:tcMar>
              <w:top w:type="dxa" w:w="120"/>
              <w:left w:type="dxa" w:w="240"/>
              <w:bottom w:type="dxa" w:w="120"/>
              <w:right w:type="dxa" w:w="240"/>
            </w:tcMar>
          </w:tcPr>
          <w:p>
            <w:pPr>
              <w:spacing w:after="0" w:before="0"/>
              <w:jc w:val="center"/>
            </w:pPr>
            <w:r>
              <w:rPr>
                <w:rFonts w:ascii="Arial" w:cs="Arial" w:eastAsia="Arial" w:hAnsi="Arial"/>
                <w:b/>
                <w:bCs/>
                <w:color w:val="FFFFFF"/>
                <w:sz w:val="24"/>
                <w:szCs w:val="24"/>
              </w:rPr>
              <w:t xml:space="preserve">PART III — FUTURE-FORWARD DEBT ECONOMY (FFDE)</w:t>
            </w:r>
          </w:p>
        </w:tc>
      </w:tr>
    </w:tbl>
    <w:p>
      <w:r>
        <w:rPr>
          <w:sz w:val="20"/>
          <w:szCs w:val="20"/>
        </w:rPr>
        <w:t xml:space="preserve"/>
      </w:r>
    </w:p>
    <w:p>
      <w:pPr>
        <w:pStyle w:val="Heading1"/>
        <w:pBdr>
          <w:bottom w:val="single" w:color="2D6BE4" w:sz="8" w:space="4"/>
        </w:pBdr>
        <w:spacing w:after="200" w:before="480"/>
      </w:pPr>
      <w:r>
        <w:rPr>
          <w:rFonts w:ascii="Arial" w:cs="Arial" w:eastAsia="Arial" w:hAnsi="Arial"/>
          <w:b/>
          <w:bCs/>
          <w:color w:val="1A2B6B"/>
          <w:sz w:val="36"/>
          <w:szCs w:val="36"/>
        </w:rPr>
        <w:t xml:space="preserve">7. Future-Forward Debt Economy (FFDE)</w:t>
      </w:r>
    </w:p>
    <w:p>
      <w:pPr>
        <w:pStyle w:val="Heading2"/>
        <w:spacing w:after="120" w:before="320"/>
      </w:pPr>
      <w:r>
        <w:rPr>
          <w:rFonts w:ascii="Arial" w:cs="Arial" w:eastAsia="Arial" w:hAnsi="Arial"/>
          <w:b/>
          <w:bCs/>
          <w:color w:val="1A2B6B"/>
          <w:sz w:val="26"/>
          <w:szCs w:val="26"/>
        </w:rPr>
        <w:t xml:space="preserve">7.1  The Core Concept: Debt as Engine</w:t>
      </w:r>
    </w:p>
    <w:p>
      <w:pPr>
        <w:spacing w:after="80" w:before="60"/>
      </w:pPr>
      <w:r>
        <w:rPr>
          <w:rFonts w:ascii="Arial" w:cs="Arial" w:eastAsia="Arial" w:hAnsi="Arial"/>
          <w:color w:val="0A0F1E"/>
          <w:sz w:val="22"/>
          <w:szCs w:val="22"/>
        </w:rPr>
        <w:t xml:space="preserve">The Future-Forward Debt Economy (FFDE) is AIONE v2.0's most radical macroeconomic innovation. It draws directly from Modern Monetary Theory's insight that a currency-issuing sovereign can issue spending obligations today — backed by the productive capacity they will generate — without requiring prior savings.</w:t>
      </w:r>
    </w:p>
    <w:p>
      <w:pPr>
        <w:spacing w:after="80" w:before="60"/>
      </w:pPr>
      <w:r>
        <w:rPr>
          <w:rFonts w:ascii="Arial" w:cs="Arial" w:eastAsia="Arial" w:hAnsi="Arial"/>
          <w:color w:val="0A0F1E"/>
          <w:sz w:val="22"/>
          <w:szCs w:val="22"/>
        </w:rPr>
        <w:t xml:space="preserve">In AIONE's FFDE, the "sovereign" is the AIONE DAO. The "currency" is AIONE tokens. The "productive capacity" is verified AI compute consumption (CU). The "debt instrument" is the Mining Debt Certificate (MDC). The "tax" that retires debt is the token burn mechanism.</w:t>
      </w:r>
    </w:p>
    <w:p>
      <w:r>
        <w:rPr>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D6BE4" w:sz="1"/>
              <w:left w:val="single" w:color="2D6BE4" w:sz="1"/>
              <w:bottom w:val="single" w:color="2D6BE4" w:sz="1"/>
              <w:right w:val="single" w:color="2D6BE4" w:sz="1"/>
            </w:tcBorders>
            <w:shd w:fill="EFF3FB" w:val="clear"/>
            <w:tcMar>
              <w:top w:type="dxa" w:w="140"/>
              <w:left w:type="dxa" w:w="200"/>
              <w:bottom w:type="dxa" w:w="140"/>
              <w:right w:type="dxa" w:w="200"/>
            </w:tcMar>
          </w:tcPr>
          <w:p>
            <w:pPr>
              <w:spacing w:after="0" w:before="0"/>
            </w:pPr>
            <w:r>
              <w:rPr>
                <w:rFonts w:ascii="Arial" w:cs="Arial" w:eastAsia="Arial" w:hAnsi="Arial"/>
                <w:i/>
                <w:iCs/>
                <w:color w:val="1A2B6B"/>
                <w:sz w:val="21"/>
                <w:szCs w:val="21"/>
              </w:rPr>
              <w:t xml:space="preserve">MMT Parallel: Just as a government issues treasury bonds (a promise to pay future value) to fund present spending, AIONE issues Mining Debt Certificates (MDCs) backed by committed subscription revenue — issuing present mining rewards against future confirmed cashflow. Spending precedes taxation; mining precedes full price discovery.</w:t>
            </w:r>
          </w:p>
        </w:tc>
      </w:tr>
    </w:tbl>
    <w:p>
      <w:r>
        <w:rPr>
          <w:sz w:val="20"/>
          <w:szCs w:val="20"/>
        </w:rPr>
        <w:t xml:space="preserve"/>
      </w:r>
    </w:p>
    <w:p>
      <w:pPr>
        <w:pStyle w:val="Heading2"/>
        <w:spacing w:after="120" w:before="320"/>
      </w:pPr>
      <w:r>
        <w:rPr>
          <w:rFonts w:ascii="Arial" w:cs="Arial" w:eastAsia="Arial" w:hAnsi="Arial"/>
          <w:b/>
          <w:bCs/>
          <w:color w:val="1A2B6B"/>
          <w:sz w:val="26"/>
          <w:szCs w:val="26"/>
        </w:rPr>
        <w:t xml:space="preserve">7.2  Mining Debt Certificates (MDC)</w:t>
      </w:r>
    </w:p>
    <w:p>
      <w:pPr>
        <w:spacing w:after="80" w:before="60"/>
      </w:pPr>
      <w:r>
        <w:rPr>
          <w:rFonts w:ascii="Arial" w:cs="Arial" w:eastAsia="Arial" w:hAnsi="Arial"/>
          <w:color w:val="0A0F1E"/>
          <w:sz w:val="22"/>
          <w:szCs w:val="22"/>
        </w:rPr>
        <w:t xml:space="preserve">When a user pre-commits to a multi-month subscription (quarterly, semi-annual, or annual), the smart contract issues an on-chain Mining Debt Certificate. The MDC represents the platform's commitment to return 100% of the subscription value in tokens over the life of the certificate. It also grants the MDC holder an Advance Mining Issuance (AMI) — an immediate token advance before the full vesting period completes.</w:t>
      </w:r>
    </w:p>
    <w:p>
      <w:r>
        <w:rPr>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2D6BE4" w:sz="1"/>
              <w:left w:val="single" w:color="2D6BE4" w:sz="1"/>
              <w:bottom w:val="single" w:color="2D6BE4" w:sz="1"/>
              <w:right w:val="single" w:color="2D6BE4" w:sz="1"/>
            </w:tcBorders>
            <w:shd w:fill="1A2B6B" w:val="clear"/>
            <w:tcMar>
              <w:top w:type="dxa" w:w="80"/>
              <w:left w:type="dxa" w:w="120"/>
              <w:bottom w:type="dxa" w:w="80"/>
              <w:right w:type="dxa" w:w="120"/>
            </w:tcMar>
            <w:vAlign w:val="center"/>
          </w:tcPr>
          <w:p>
            <w:pPr>
              <w:spacing w:after="0" w:before="0"/>
              <w:jc w:val="center"/>
            </w:pPr>
            <w:r>
              <w:rPr>
                <w:rFonts w:ascii="Arial" w:cs="Arial" w:eastAsia="Arial" w:hAnsi="Arial"/>
                <w:b/>
                <w:bCs/>
                <w:color w:val="FFFFFF"/>
                <w:sz w:val="19"/>
                <w:szCs w:val="19"/>
              </w:rPr>
              <w:t xml:space="preserve">Subscription Commitment</w:t>
            </w:r>
          </w:p>
        </w:tc>
        <w:tc>
          <w:tcPr>
            <w:tcW w:type="dxa" w:w="2340"/>
            <w:tcBorders>
              <w:top w:val="single" w:color="2D6BE4" w:sz="1"/>
              <w:left w:val="single" w:color="2D6BE4" w:sz="1"/>
              <w:bottom w:val="single" w:color="2D6BE4" w:sz="1"/>
              <w:right w:val="single" w:color="2D6BE4" w:sz="1"/>
            </w:tcBorders>
            <w:shd w:fill="1A2B6B" w:val="clear"/>
            <w:tcMar>
              <w:top w:type="dxa" w:w="80"/>
              <w:left w:type="dxa" w:w="120"/>
              <w:bottom w:type="dxa" w:w="80"/>
              <w:right w:type="dxa" w:w="120"/>
            </w:tcMar>
            <w:vAlign w:val="center"/>
          </w:tcPr>
          <w:p>
            <w:pPr>
              <w:spacing w:after="0" w:before="0"/>
              <w:jc w:val="center"/>
            </w:pPr>
            <w:r>
              <w:rPr>
                <w:rFonts w:ascii="Arial" w:cs="Arial" w:eastAsia="Arial" w:hAnsi="Arial"/>
                <w:b/>
                <w:bCs/>
                <w:color w:val="FFFFFF"/>
                <w:sz w:val="19"/>
                <w:szCs w:val="19"/>
              </w:rPr>
              <w:t xml:space="preserve">MDC Issued</w:t>
            </w:r>
          </w:p>
        </w:tc>
        <w:tc>
          <w:tcPr>
            <w:tcW w:type="dxa" w:w="2340"/>
            <w:tcBorders>
              <w:top w:val="single" w:color="2D6BE4" w:sz="1"/>
              <w:left w:val="single" w:color="2D6BE4" w:sz="1"/>
              <w:bottom w:val="single" w:color="2D6BE4" w:sz="1"/>
              <w:right w:val="single" w:color="2D6BE4" w:sz="1"/>
            </w:tcBorders>
            <w:shd w:fill="1A2B6B" w:val="clear"/>
            <w:tcMar>
              <w:top w:type="dxa" w:w="80"/>
              <w:left w:type="dxa" w:w="120"/>
              <w:bottom w:type="dxa" w:w="80"/>
              <w:right w:type="dxa" w:w="120"/>
            </w:tcMar>
            <w:vAlign w:val="center"/>
          </w:tcPr>
          <w:p>
            <w:pPr>
              <w:spacing w:after="0" w:before="0"/>
              <w:jc w:val="center"/>
            </w:pPr>
            <w:r>
              <w:rPr>
                <w:rFonts w:ascii="Arial" w:cs="Arial" w:eastAsia="Arial" w:hAnsi="Arial"/>
                <w:b/>
                <w:bCs/>
                <w:color w:val="FFFFFF"/>
                <w:sz w:val="19"/>
                <w:szCs w:val="19"/>
              </w:rPr>
              <w:t xml:space="preserve">Advance Mining Issuance (AMI)</w:t>
            </w:r>
          </w:p>
        </w:tc>
        <w:tc>
          <w:tcPr>
            <w:tcW w:type="dxa" w:w="2340"/>
            <w:tcBorders>
              <w:top w:val="single" w:color="2D6BE4" w:sz="1"/>
              <w:left w:val="single" w:color="2D6BE4" w:sz="1"/>
              <w:bottom w:val="single" w:color="2D6BE4" w:sz="1"/>
              <w:right w:val="single" w:color="2D6BE4" w:sz="1"/>
            </w:tcBorders>
            <w:shd w:fill="1A2B6B" w:val="clear"/>
            <w:tcMar>
              <w:top w:type="dxa" w:w="80"/>
              <w:left w:type="dxa" w:w="120"/>
              <w:bottom w:type="dxa" w:w="80"/>
              <w:right w:type="dxa" w:w="120"/>
            </w:tcMar>
            <w:vAlign w:val="center"/>
          </w:tcPr>
          <w:p>
            <w:pPr>
              <w:spacing w:after="0" w:before="0"/>
              <w:jc w:val="center"/>
            </w:pPr>
            <w:r>
              <w:rPr>
                <w:rFonts w:ascii="Arial" w:cs="Arial" w:eastAsia="Arial" w:hAnsi="Arial"/>
                <w:b/>
                <w:bCs/>
                <w:color w:val="FFFFFF"/>
                <w:sz w:val="19"/>
                <w:szCs w:val="19"/>
              </w:rPr>
              <w:t xml:space="preserve">Debt Retirement Schedule</w:t>
            </w:r>
          </w:p>
        </w:tc>
      </w:tr>
      <w:tr>
        <w:tc>
          <w:tcPr>
            <w:tcW w:type="dxa" w:w="234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Monthly (no MDC)</w:t>
            </w:r>
          </w:p>
        </w:tc>
        <w:tc>
          <w:tcPr>
            <w:tcW w:type="dxa" w:w="234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No MDC</w:t>
            </w:r>
          </w:p>
        </w:tc>
        <w:tc>
          <w:tcPr>
            <w:tcW w:type="dxa" w:w="234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No advance</w:t>
            </w:r>
          </w:p>
        </w:tc>
        <w:tc>
          <w:tcPr>
            <w:tcW w:type="dxa" w:w="234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Standard 180-day vest</w:t>
            </w:r>
          </w:p>
        </w:tc>
      </w:tr>
      <w:tr>
        <w:tc>
          <w:tcPr>
            <w:tcW w:type="dxa" w:w="234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Quarterly ($59)</w:t>
            </w:r>
          </w:p>
        </w:tc>
        <w:tc>
          <w:tcPr>
            <w:tcW w:type="dxa" w:w="234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MDC-Q</w:t>
            </w:r>
          </w:p>
        </w:tc>
        <w:tc>
          <w:tcPr>
            <w:tcW w:type="dxa" w:w="234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20% of CB immediately</w:t>
            </w:r>
          </w:p>
        </w:tc>
        <w:tc>
          <w:tcPr>
            <w:tcW w:type="dxa" w:w="234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Remaining 80% linear over 90 days</w:t>
            </w:r>
          </w:p>
        </w:tc>
      </w:tr>
      <w:tr>
        <w:tc>
          <w:tcPr>
            <w:tcW w:type="dxa" w:w="234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Half-Year ($199)</w:t>
            </w:r>
          </w:p>
        </w:tc>
        <w:tc>
          <w:tcPr>
            <w:tcW w:type="dxa" w:w="234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MDC-H</w:t>
            </w:r>
          </w:p>
        </w:tc>
        <w:tc>
          <w:tcPr>
            <w:tcW w:type="dxa" w:w="234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30% of CB immediately</w:t>
            </w:r>
          </w:p>
        </w:tc>
        <w:tc>
          <w:tcPr>
            <w:tcW w:type="dxa" w:w="234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Remaining 70% linear over 180 days</w:t>
            </w:r>
          </w:p>
        </w:tc>
      </w:tr>
      <w:tr>
        <w:tc>
          <w:tcPr>
            <w:tcW w:type="dxa" w:w="234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Annual ($599)</w:t>
            </w:r>
          </w:p>
        </w:tc>
        <w:tc>
          <w:tcPr>
            <w:tcW w:type="dxa" w:w="234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MDC-A</w:t>
            </w:r>
          </w:p>
        </w:tc>
        <w:tc>
          <w:tcPr>
            <w:tcW w:type="dxa" w:w="234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40% of CB immediately</w:t>
            </w:r>
          </w:p>
        </w:tc>
        <w:tc>
          <w:tcPr>
            <w:tcW w:type="dxa" w:w="234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Remaining 60% linear over 365 days</w:t>
            </w:r>
          </w:p>
        </w:tc>
      </w:tr>
      <w:tr>
        <w:tc>
          <w:tcPr>
            <w:tcW w:type="dxa" w:w="234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Enterprise (custom)</w:t>
            </w:r>
          </w:p>
        </w:tc>
        <w:tc>
          <w:tcPr>
            <w:tcW w:type="dxa" w:w="234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MDC-E</w:t>
            </w:r>
          </w:p>
        </w:tc>
        <w:tc>
          <w:tcPr>
            <w:tcW w:type="dxa" w:w="234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50% of CB immediately</w:t>
            </w:r>
          </w:p>
        </w:tc>
        <w:tc>
          <w:tcPr>
            <w:tcW w:type="dxa" w:w="234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Remaining 50% linear over contract term</w:t>
            </w:r>
          </w:p>
        </w:tc>
      </w:tr>
    </w:tbl>
    <w:p>
      <w:r>
        <w:rPr>
          <w:sz w:val="20"/>
          <w:szCs w:val="20"/>
        </w:rPr>
        <w:t xml:space="preserve"/>
      </w:r>
    </w:p>
    <w:p>
      <w:pPr>
        <w:spacing w:after="80" w:before="60"/>
      </w:pPr>
      <w:r>
        <w:rPr>
          <w:rFonts w:ascii="Arial" w:cs="Arial" w:eastAsia="Arial" w:hAnsi="Arial"/>
          <w:color w:val="0A0F1E"/>
          <w:sz w:val="22"/>
          <w:szCs w:val="22"/>
        </w:rPr>
        <w:t xml:space="preserve">The AMI pool is funded from the 200,000,000 AIONE Advance Mining Reserve (see §10 Token Distribution). This pool is the FFDE's "balance sheet" — the sovereign's debt capacity. As subscriptions grow, the AMI pool is replenished by subscription revenue buybacks, creating a self-sustaining cycle.</w:t>
      </w:r>
    </w:p>
    <w:p>
      <w:pPr>
        <w:pStyle w:val="Heading2"/>
        <w:spacing w:after="120" w:before="320"/>
      </w:pPr>
      <w:r>
        <w:rPr>
          <w:rFonts w:ascii="Arial" w:cs="Arial" w:eastAsia="Arial" w:hAnsi="Arial"/>
          <w:b/>
          <w:bCs/>
          <w:color w:val="1A2B6B"/>
          <w:sz w:val="26"/>
          <w:szCs w:val="26"/>
        </w:rPr>
        <w:t xml:space="preserve">7.3  Debt Amplifier (DA) — Rewarding MDC Holders</w:t>
      </w:r>
    </w:p>
    <w:p>
      <w:pPr>
        <w:spacing w:after="80" w:before="60"/>
      </w:pPr>
      <w:r>
        <w:rPr>
          <w:rFonts w:ascii="Arial" w:cs="Arial" w:eastAsia="Arial" w:hAnsi="Arial"/>
          <w:color w:val="0A0F1E"/>
          <w:sz w:val="22"/>
          <w:szCs w:val="22"/>
        </w:rPr>
        <w:t xml:space="preserve">Users holding active MDCs receive the Debt Amplifier bonus in their mining formula. This incentivises longer commitment, which reduces churn and provides predictable revenue for the FFDE model:</w:t>
      </w:r>
    </w:p>
    <w:p>
      <w:r>
        <w:rPr>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2D6BE4" w:sz="1"/>
              <w:left w:val="single" w:color="2D6BE4" w:sz="1"/>
              <w:bottom w:val="single" w:color="2D6BE4" w:sz="1"/>
              <w:right w:val="single" w:color="2D6BE4" w:sz="1"/>
            </w:tcBorders>
            <w:shd w:fill="1A2B6B" w:val="clear"/>
            <w:tcMar>
              <w:top w:type="dxa" w:w="80"/>
              <w:left w:type="dxa" w:w="120"/>
              <w:bottom w:type="dxa" w:w="80"/>
              <w:right w:type="dxa" w:w="120"/>
            </w:tcMar>
            <w:vAlign w:val="center"/>
          </w:tcPr>
          <w:p>
            <w:pPr>
              <w:spacing w:after="0" w:before="0"/>
              <w:jc w:val="center"/>
            </w:pPr>
            <w:r>
              <w:rPr>
                <w:rFonts w:ascii="Arial" w:cs="Arial" w:eastAsia="Arial" w:hAnsi="Arial"/>
                <w:b/>
                <w:bCs/>
                <w:color w:val="FFFFFF"/>
                <w:sz w:val="19"/>
                <w:szCs w:val="19"/>
              </w:rPr>
              <w:t xml:space="preserve">Active MDC Type</w:t>
            </w:r>
          </w:p>
        </w:tc>
        <w:tc>
          <w:tcPr>
            <w:tcW w:type="dxa" w:w="3120"/>
            <w:tcBorders>
              <w:top w:val="single" w:color="2D6BE4" w:sz="1"/>
              <w:left w:val="single" w:color="2D6BE4" w:sz="1"/>
              <w:bottom w:val="single" w:color="2D6BE4" w:sz="1"/>
              <w:right w:val="single" w:color="2D6BE4" w:sz="1"/>
            </w:tcBorders>
            <w:shd w:fill="1A2B6B" w:val="clear"/>
            <w:tcMar>
              <w:top w:type="dxa" w:w="80"/>
              <w:left w:type="dxa" w:w="120"/>
              <w:bottom w:type="dxa" w:w="80"/>
              <w:right w:type="dxa" w:w="120"/>
            </w:tcMar>
            <w:vAlign w:val="center"/>
          </w:tcPr>
          <w:p>
            <w:pPr>
              <w:spacing w:after="0" w:before="0"/>
              <w:jc w:val="center"/>
            </w:pPr>
            <w:r>
              <w:rPr>
                <w:rFonts w:ascii="Arial" w:cs="Arial" w:eastAsia="Arial" w:hAnsi="Arial"/>
                <w:b/>
                <w:bCs/>
                <w:color w:val="FFFFFF"/>
                <w:sz w:val="19"/>
                <w:szCs w:val="19"/>
              </w:rPr>
              <w:t xml:space="preserve">Debt Amplifier (DA)</w:t>
            </w:r>
          </w:p>
        </w:tc>
        <w:tc>
          <w:tcPr>
            <w:tcW w:type="dxa" w:w="3120"/>
            <w:tcBorders>
              <w:top w:val="single" w:color="2D6BE4" w:sz="1"/>
              <w:left w:val="single" w:color="2D6BE4" w:sz="1"/>
              <w:bottom w:val="single" w:color="2D6BE4" w:sz="1"/>
              <w:right w:val="single" w:color="2D6BE4" w:sz="1"/>
            </w:tcBorders>
            <w:shd w:fill="1A2B6B" w:val="clear"/>
            <w:tcMar>
              <w:top w:type="dxa" w:w="80"/>
              <w:left w:type="dxa" w:w="120"/>
              <w:bottom w:type="dxa" w:w="80"/>
              <w:right w:type="dxa" w:w="120"/>
            </w:tcMar>
            <w:vAlign w:val="center"/>
          </w:tcPr>
          <w:p>
            <w:pPr>
              <w:spacing w:after="0" w:before="0"/>
              <w:jc w:val="center"/>
            </w:pPr>
            <w:r>
              <w:rPr>
                <w:rFonts w:ascii="Arial" w:cs="Arial" w:eastAsia="Arial" w:hAnsi="Arial"/>
                <w:b/>
                <w:bCs/>
                <w:color w:val="FFFFFF"/>
                <w:sz w:val="19"/>
                <w:szCs w:val="19"/>
              </w:rPr>
              <w:t xml:space="preserve">Rationale</w:t>
            </w:r>
          </w:p>
        </w:tc>
      </w:tr>
      <w:tr>
        <w:tc>
          <w:tcPr>
            <w:tcW w:type="dxa" w:w="312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No MDC (monthly)</w:t>
            </w:r>
          </w:p>
        </w:tc>
        <w:tc>
          <w:tcPr>
            <w:tcW w:type="dxa" w:w="312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1.00×</w:t>
            </w:r>
          </w:p>
        </w:tc>
        <w:tc>
          <w:tcPr>
            <w:tcW w:type="dxa" w:w="312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Baseline</w:t>
            </w:r>
          </w:p>
        </w:tc>
      </w:tr>
      <w:tr>
        <w:tc>
          <w:tcPr>
            <w:tcW w:type="dxa" w:w="312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MDC-Q (quarterly)</w:t>
            </w:r>
          </w:p>
        </w:tc>
        <w:tc>
          <w:tcPr>
            <w:tcW w:type="dxa" w:w="312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1.20×</w:t>
            </w:r>
          </w:p>
        </w:tc>
        <w:tc>
          <w:tcPr>
            <w:tcW w:type="dxa" w:w="312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90-day revenue commitment unlocked</w:t>
            </w:r>
          </w:p>
        </w:tc>
      </w:tr>
      <w:tr>
        <w:tc>
          <w:tcPr>
            <w:tcW w:type="dxa" w:w="312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MDC-H (half-year)</w:t>
            </w:r>
          </w:p>
        </w:tc>
        <w:tc>
          <w:tcPr>
            <w:tcW w:type="dxa" w:w="312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1.45×</w:t>
            </w:r>
          </w:p>
        </w:tc>
        <w:tc>
          <w:tcPr>
            <w:tcW w:type="dxa" w:w="312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180-day commitment — meaningful capital lock-in</w:t>
            </w:r>
          </w:p>
        </w:tc>
      </w:tr>
      <w:tr>
        <w:tc>
          <w:tcPr>
            <w:tcW w:type="dxa" w:w="312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MDC-A (annual)</w:t>
            </w:r>
          </w:p>
        </w:tc>
        <w:tc>
          <w:tcPr>
            <w:tcW w:type="dxa" w:w="312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1.80×</w:t>
            </w:r>
          </w:p>
        </w:tc>
        <w:tc>
          <w:tcPr>
            <w:tcW w:type="dxa" w:w="312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365-day commitment — maximum revenue predictability</w:t>
            </w:r>
          </w:p>
        </w:tc>
      </w:tr>
      <w:tr>
        <w:tc>
          <w:tcPr>
            <w:tcW w:type="dxa" w:w="312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MDC-E (enterprise)</w:t>
            </w:r>
          </w:p>
        </w:tc>
        <w:tc>
          <w:tcPr>
            <w:tcW w:type="dxa" w:w="312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2.50×</w:t>
            </w:r>
          </w:p>
        </w:tc>
        <w:tc>
          <w:tcPr>
            <w:tcW w:type="dxa" w:w="312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Contractual revenue — highest predictability premium</w:t>
            </w:r>
          </w:p>
        </w:tc>
      </w:tr>
    </w:tbl>
    <w:p>
      <w:r>
        <w:rPr>
          <w:sz w:val="20"/>
          <w:szCs w:val="20"/>
        </w:rPr>
        <w:t xml:space="preserve"/>
      </w:r>
    </w:p>
    <w:p>
      <w:pPr>
        <w:pStyle w:val="Heading2"/>
        <w:spacing w:after="120" w:before="320"/>
      </w:pPr>
      <w:r>
        <w:rPr>
          <w:rFonts w:ascii="Arial" w:cs="Arial" w:eastAsia="Arial" w:hAnsi="Arial"/>
          <w:b/>
          <w:bCs/>
          <w:color w:val="1A2B6B"/>
          <w:sz w:val="26"/>
          <w:szCs w:val="26"/>
        </w:rPr>
        <w:t xml:space="preserve">7.4  The FFDE Flywheel</w:t>
      </w:r>
    </w:p>
    <w:p>
      <w:pPr>
        <w:spacing w:after="80" w:before="60"/>
      </w:pPr>
      <w:r>
        <w:rPr>
          <w:rFonts w:ascii="Arial" w:cs="Arial" w:eastAsia="Arial" w:hAnsi="Arial"/>
          <w:color w:val="0A0F1E"/>
          <w:sz w:val="22"/>
          <w:szCs w:val="22"/>
        </w:rPr>
        <w:t xml:space="preserve">The full FFDE loop operates as follows:</w:t>
      </w:r>
    </w:p>
    <w:p>
      <w:r>
        <w:rPr>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D6BE4" w:sz="1"/>
              <w:left w:val="single" w:color="2D6BE4" w:sz="1"/>
              <w:bottom w:val="single" w:color="2D6BE4" w:sz="1"/>
              <w:right w:val="single" w:color="2D6BE4" w:sz="1"/>
            </w:tcBorders>
            <w:shd w:fill="0D1B3E" w:val="clear"/>
            <w:tcMar>
              <w:top w:type="dxa" w:w="160"/>
              <w:left w:type="dxa" w:w="240"/>
              <w:bottom w:type="dxa" w:w="160"/>
              <w:right w:type="dxa" w:w="240"/>
            </w:tcMar>
          </w:tcPr>
          <w:p>
            <w:pPr>
              <w:spacing w:after="40" w:before="0"/>
              <w:jc w:val="center"/>
            </w:pPr>
            <w:r>
              <w:rPr>
                <w:rFonts w:ascii="Arial" w:cs="Arial" w:eastAsia="Arial" w:hAnsi="Arial"/>
                <w:b/>
                <w:bCs/>
                <w:color w:val="FFFFFF"/>
                <w:sz w:val="22"/>
                <w:szCs w:val="22"/>
              </w:rPr>
              <w:t xml:space="preserve">THE FFDE FLYWHEEL</w:t>
            </w:r>
          </w:p>
          <w:p>
            <w:pPr>
              <w:spacing w:after="20" w:before="0"/>
            </w:pPr>
            <w:r>
              <w:rPr>
                <w:rFonts w:ascii="Arial" w:cs="Arial" w:eastAsia="Arial" w:hAnsi="Arial"/>
                <w:color w:val="A0C8FF"/>
                <w:sz w:val="19"/>
                <w:szCs w:val="19"/>
              </w:rPr>
              <w:t xml:space="preserve">① User subscribes annually → MDC-A issued → 40% AMI delivered immediately</w:t>
            </w:r>
          </w:p>
          <w:p>
            <w:pPr>
              <w:spacing w:after="20" w:before="0"/>
            </w:pPr>
            <w:r>
              <w:rPr>
                <w:rFonts w:ascii="Arial" w:cs="Arial" w:eastAsia="Arial" w:hAnsi="Arial"/>
                <w:color w:val="A0C8FF"/>
                <w:sz w:val="19"/>
                <w:szCs w:val="19"/>
              </w:rPr>
              <w:t xml:space="preserve">② DA = 1.80× amplifies all mining rewards → user mines more per session</w:t>
            </w:r>
          </w:p>
          <w:p>
            <w:pPr>
              <w:spacing w:after="20" w:before="0"/>
            </w:pPr>
            <w:r>
              <w:rPr>
                <w:rFonts w:ascii="Arial" w:cs="Arial" w:eastAsia="Arial" w:hAnsi="Arial"/>
                <w:color w:val="A0C8FF"/>
                <w:sz w:val="19"/>
                <w:szCs w:val="19"/>
              </w:rPr>
              <w:t xml:space="preserve">③ Higher mining → user accumulates more AIONE → higher platform engagement</w:t>
            </w:r>
          </w:p>
          <w:p>
            <w:pPr>
              <w:spacing w:after="20" w:before="0"/>
            </w:pPr>
            <w:r>
              <w:rPr>
                <w:rFonts w:ascii="Arial" w:cs="Arial" w:eastAsia="Arial" w:hAnsi="Arial"/>
                <w:color w:val="A0C8FF"/>
                <w:sz w:val="19"/>
                <w:szCs w:val="19"/>
              </w:rPr>
              <w:t xml:space="preserve">④ Annual revenue committed → platform burns tokens from AMI reserve buybacks</w:t>
            </w:r>
          </w:p>
          <w:p>
            <w:pPr>
              <w:spacing w:after="20" w:before="0"/>
            </w:pPr>
            <w:r>
              <w:rPr>
                <w:rFonts w:ascii="Arial" w:cs="Arial" w:eastAsia="Arial" w:hAnsi="Arial"/>
                <w:color w:val="A0C8FF"/>
                <w:sz w:val="19"/>
                <w:szCs w:val="19"/>
              </w:rPr>
              <w:t xml:space="preserve">⑤ Burns reduce supply → price rises → 100% cashback delivers fewer tokens</w:t>
            </w:r>
          </w:p>
          <w:p>
            <w:pPr>
              <w:spacing w:after="20" w:before="0"/>
            </w:pPr>
            <w:r>
              <w:rPr>
                <w:rFonts w:ascii="Arial" w:cs="Arial" w:eastAsia="Arial" w:hAnsi="Arial"/>
                <w:color w:val="A0C8FF"/>
                <w:sz w:val="19"/>
                <w:szCs w:val="19"/>
              </w:rPr>
              <w:t xml:space="preserve">⑥ Fewer tokens mined per dollar → deflationary pressure deepens naturally</w:t>
            </w:r>
          </w:p>
          <w:p>
            <w:pPr>
              <w:spacing w:after="0" w:before="0"/>
            </w:pPr>
            <w:r>
              <w:rPr>
                <w:rFonts w:ascii="Arial" w:cs="Arial" w:eastAsia="Arial" w:hAnsi="Arial"/>
                <w:color w:val="A0C8FF"/>
                <w:sz w:val="19"/>
                <w:szCs w:val="19"/>
              </w:rPr>
              <w:t xml:space="preserve">⑦ Higher AIONE price → 365-day lock 2.0× CB is now extremely valuable → more locks</w:t>
            </w:r>
          </w:p>
        </w:tc>
      </w:tr>
    </w:tbl>
    <w:p>
      <w:r>
        <w:rPr>
          <w:sz w:val="20"/>
          <w:szCs w:val="20"/>
        </w:rPr>
        <w:t xml:space="preserve"/>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D6BE4" w:sz="1"/>
              <w:left w:val="single" w:color="0A0F1E" w:sz="1"/>
              <w:bottom w:val="single" w:color="2D6BE4" w:sz="1"/>
              <w:right w:val="single" w:color="0A0F1E" w:sz="1"/>
            </w:tcBorders>
            <w:shd w:fill="0A0F1E" w:val="clear"/>
            <w:tcMar>
              <w:top w:type="dxa" w:w="120"/>
              <w:left w:type="dxa" w:w="240"/>
              <w:bottom w:type="dxa" w:w="120"/>
              <w:right w:type="dxa" w:w="240"/>
            </w:tcMar>
          </w:tcPr>
          <w:p>
            <w:pPr>
              <w:spacing w:after="0" w:before="0"/>
              <w:jc w:val="center"/>
            </w:pPr>
            <w:r>
              <w:rPr>
                <w:rFonts w:ascii="Arial" w:cs="Arial" w:eastAsia="Arial" w:hAnsi="Arial"/>
                <w:b/>
                <w:bCs/>
                <w:color w:val="FFFFFF"/>
                <w:sz w:val="24"/>
                <w:szCs w:val="24"/>
              </w:rPr>
              <w:t xml:space="preserve">PART IV — MMT &amp; MUNDELL TRIANGLE MACROECONOMIC ARCHITECTURE</w:t>
            </w:r>
          </w:p>
        </w:tc>
      </w:tr>
    </w:tbl>
    <w:p>
      <w:r>
        <w:rPr>
          <w:sz w:val="20"/>
          <w:szCs w:val="20"/>
        </w:rPr>
        <w:t xml:space="preserve"/>
      </w:r>
    </w:p>
    <w:p>
      <w:pPr>
        <w:pStyle w:val="Heading1"/>
        <w:pBdr>
          <w:bottom w:val="single" w:color="2D6BE4" w:sz="8" w:space="4"/>
        </w:pBdr>
        <w:spacing w:after="200" w:before="480"/>
      </w:pPr>
      <w:r>
        <w:rPr>
          <w:rFonts w:ascii="Arial" w:cs="Arial" w:eastAsia="Arial" w:hAnsi="Arial"/>
          <w:b/>
          <w:bCs/>
          <w:color w:val="1A2B6B"/>
          <w:sz w:val="36"/>
          <w:szCs w:val="36"/>
        </w:rPr>
        <w:t xml:space="preserve">8. MMT-Grounded Token Monetary Policy</w:t>
      </w:r>
    </w:p>
    <w:p>
      <w:pPr>
        <w:pStyle w:val="Heading2"/>
        <w:spacing w:after="120" w:before="320"/>
      </w:pPr>
      <w:r>
        <w:rPr>
          <w:rFonts w:ascii="Arial" w:cs="Arial" w:eastAsia="Arial" w:hAnsi="Arial"/>
          <w:b/>
          <w:bCs/>
          <w:color w:val="1A2B6B"/>
          <w:sz w:val="26"/>
          <w:szCs w:val="26"/>
        </w:rPr>
        <w:t xml:space="preserve">8.1  Why Modern Monetary Theory</w:t>
      </w:r>
    </w:p>
    <w:p>
      <w:pPr>
        <w:spacing w:after="80" w:before="60"/>
      </w:pPr>
      <w:r>
        <w:rPr>
          <w:rFonts w:ascii="Arial" w:cs="Arial" w:eastAsia="Arial" w:hAnsi="Arial"/>
          <w:color w:val="0A0F1E"/>
          <w:sz w:val="22"/>
          <w:szCs w:val="22"/>
        </w:rPr>
        <w:t xml:space="preserve">Modern Monetary Theory (MMT) provides the most powerful intellectual framework for understanding AIONE's token economy precisely because AIONE, like an MMT sovereign, is the monopoly issuer of its own currency (AIONE tokens) within a closed economic system (the AIONE platform ecosystem).</w:t>
      </w:r>
    </w:p>
    <w:p>
      <w:pPr>
        <w:spacing w:after="80" w:before="60"/>
      </w:pPr>
      <w:r>
        <w:rPr>
          <w:rFonts w:ascii="Arial" w:cs="Arial" w:eastAsia="Arial" w:hAnsi="Arial"/>
          <w:color w:val="0A0F1E"/>
          <w:sz w:val="22"/>
          <w:szCs w:val="22"/>
        </w:rPr>
        <w:t xml:space="preserve">MMT's central insight is that a currency-issuing sovereign is never revenue-constrained in its own currency. Its spending capacity is constrained only by real productive resources — not by prior savings or balance sheet positions. Applied to AIONE:</w:t>
      </w:r>
    </w:p>
    <w:p>
      <w:r>
        <w:rPr>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2D6BE4" w:sz="1"/>
              <w:left w:val="single" w:color="2D6BE4" w:sz="1"/>
              <w:bottom w:val="single" w:color="2D6BE4" w:sz="1"/>
              <w:right w:val="single" w:color="2D6BE4" w:sz="1"/>
            </w:tcBorders>
            <w:shd w:fill="1A2B6B" w:val="clear"/>
            <w:tcMar>
              <w:top w:type="dxa" w:w="80"/>
              <w:left w:type="dxa" w:w="120"/>
              <w:bottom w:type="dxa" w:w="80"/>
              <w:right w:type="dxa" w:w="120"/>
            </w:tcMar>
            <w:vAlign w:val="center"/>
          </w:tcPr>
          <w:p>
            <w:pPr>
              <w:spacing w:after="0" w:before="0"/>
              <w:jc w:val="center"/>
            </w:pPr>
            <w:r>
              <w:rPr>
                <w:rFonts w:ascii="Arial" w:cs="Arial" w:eastAsia="Arial" w:hAnsi="Arial"/>
                <w:b/>
                <w:bCs/>
                <w:color w:val="FFFFFF"/>
                <w:sz w:val="19"/>
                <w:szCs w:val="19"/>
              </w:rPr>
              <w:t xml:space="preserve">MMT Concept</w:t>
            </w:r>
          </w:p>
        </w:tc>
        <w:tc>
          <w:tcPr>
            <w:tcW w:type="dxa" w:w="3120"/>
            <w:tcBorders>
              <w:top w:val="single" w:color="2D6BE4" w:sz="1"/>
              <w:left w:val="single" w:color="2D6BE4" w:sz="1"/>
              <w:bottom w:val="single" w:color="2D6BE4" w:sz="1"/>
              <w:right w:val="single" w:color="2D6BE4" w:sz="1"/>
            </w:tcBorders>
            <w:shd w:fill="1A2B6B" w:val="clear"/>
            <w:tcMar>
              <w:top w:type="dxa" w:w="80"/>
              <w:left w:type="dxa" w:w="120"/>
              <w:bottom w:type="dxa" w:w="80"/>
              <w:right w:type="dxa" w:w="120"/>
            </w:tcMar>
            <w:vAlign w:val="center"/>
          </w:tcPr>
          <w:p>
            <w:pPr>
              <w:spacing w:after="0" w:before="0"/>
              <w:jc w:val="center"/>
            </w:pPr>
            <w:r>
              <w:rPr>
                <w:rFonts w:ascii="Arial" w:cs="Arial" w:eastAsia="Arial" w:hAnsi="Arial"/>
                <w:b/>
                <w:bCs/>
                <w:color w:val="FFFFFF"/>
                <w:sz w:val="19"/>
                <w:szCs w:val="19"/>
              </w:rPr>
              <w:t xml:space="preserve">Traditional Economy</w:t>
            </w:r>
          </w:p>
        </w:tc>
        <w:tc>
          <w:tcPr>
            <w:tcW w:type="dxa" w:w="3120"/>
            <w:tcBorders>
              <w:top w:val="single" w:color="2D6BE4" w:sz="1"/>
              <w:left w:val="single" w:color="2D6BE4" w:sz="1"/>
              <w:bottom w:val="single" w:color="2D6BE4" w:sz="1"/>
              <w:right w:val="single" w:color="2D6BE4" w:sz="1"/>
            </w:tcBorders>
            <w:shd w:fill="1A2B6B" w:val="clear"/>
            <w:tcMar>
              <w:top w:type="dxa" w:w="80"/>
              <w:left w:type="dxa" w:w="120"/>
              <w:bottom w:type="dxa" w:w="80"/>
              <w:right w:type="dxa" w:w="120"/>
            </w:tcMar>
            <w:vAlign w:val="center"/>
          </w:tcPr>
          <w:p>
            <w:pPr>
              <w:spacing w:after="0" w:before="0"/>
              <w:jc w:val="center"/>
            </w:pPr>
            <w:r>
              <w:rPr>
                <w:rFonts w:ascii="Arial" w:cs="Arial" w:eastAsia="Arial" w:hAnsi="Arial"/>
                <w:b/>
                <w:bCs/>
                <w:color w:val="FFFFFF"/>
                <w:sz w:val="19"/>
                <w:szCs w:val="19"/>
              </w:rPr>
              <w:t xml:space="preserve">AIONE v2.0 Equivalent</w:t>
            </w:r>
          </w:p>
        </w:tc>
      </w:tr>
      <w:tr>
        <w:tc>
          <w:tcPr>
            <w:tcW w:type="dxa" w:w="312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Sovereign Currency Issuer</w:t>
            </w:r>
          </w:p>
        </w:tc>
        <w:tc>
          <w:tcPr>
            <w:tcW w:type="dxa" w:w="312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Central bank / government</w:t>
            </w:r>
          </w:p>
        </w:tc>
        <w:tc>
          <w:tcPr>
            <w:tcW w:type="dxa" w:w="312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AIONE DAO smart contract</w:t>
            </w:r>
          </w:p>
        </w:tc>
      </w:tr>
      <w:tr>
        <w:tc>
          <w:tcPr>
            <w:tcW w:type="dxa" w:w="312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Currency</w:t>
            </w:r>
          </w:p>
        </w:tc>
        <w:tc>
          <w:tcPr>
            <w:tcW w:type="dxa" w:w="312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Fiat (USD, EUR, etc.)</w:t>
            </w:r>
          </w:p>
        </w:tc>
        <w:tc>
          <w:tcPr>
            <w:tcW w:type="dxa" w:w="312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AIONE token</w:t>
            </w:r>
          </w:p>
        </w:tc>
      </w:tr>
      <w:tr>
        <w:tc>
          <w:tcPr>
            <w:tcW w:type="dxa" w:w="312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Productive Capacity Constraint</w:t>
            </w:r>
          </w:p>
        </w:tc>
        <w:tc>
          <w:tcPr>
            <w:tcW w:type="dxa" w:w="312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Real GDP, employment, CPI</w:t>
            </w:r>
          </w:p>
        </w:tc>
        <w:tc>
          <w:tcPr>
            <w:tcW w:type="dxa" w:w="312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AI compute consumed (CU), subscriber count</w:t>
            </w:r>
          </w:p>
        </w:tc>
      </w:tr>
      <w:tr>
        <w:tc>
          <w:tcPr>
            <w:tcW w:type="dxa" w:w="312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Government Spending</w:t>
            </w:r>
          </w:p>
        </w:tc>
        <w:tc>
          <w:tcPr>
            <w:tcW w:type="dxa" w:w="312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Fiscal outlays</w:t>
            </w:r>
          </w:p>
        </w:tc>
        <w:tc>
          <w:tcPr>
            <w:tcW w:type="dxa" w:w="312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Mining rewards &amp; AMI issuance</w:t>
            </w:r>
          </w:p>
        </w:tc>
      </w:tr>
      <w:tr>
        <w:tc>
          <w:tcPr>
            <w:tcW w:type="dxa" w:w="312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Taxation</w:t>
            </w:r>
          </w:p>
        </w:tc>
        <w:tc>
          <w:tcPr>
            <w:tcW w:type="dxa" w:w="312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Removes money from circulation</w:t>
            </w:r>
          </w:p>
        </w:tc>
        <w:tc>
          <w:tcPr>
            <w:tcW w:type="dxa" w:w="312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Token burns (fee burns, quarterly buybacks)</w:t>
            </w:r>
          </w:p>
        </w:tc>
      </w:tr>
      <w:tr>
        <w:tc>
          <w:tcPr>
            <w:tcW w:type="dxa" w:w="312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Treasury Bonds</w:t>
            </w:r>
          </w:p>
        </w:tc>
        <w:tc>
          <w:tcPr>
            <w:tcW w:type="dxa" w:w="312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Deferred sovereign obligations</w:t>
            </w:r>
          </w:p>
        </w:tc>
        <w:tc>
          <w:tcPr>
            <w:tcW w:type="dxa" w:w="312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Mining Debt Certificates (MDC)</w:t>
            </w:r>
          </w:p>
        </w:tc>
      </w:tr>
      <w:tr>
        <w:tc>
          <w:tcPr>
            <w:tcW w:type="dxa" w:w="312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Inflation</w:t>
            </w:r>
          </w:p>
        </w:tc>
        <w:tc>
          <w:tcPr>
            <w:tcW w:type="dxa" w:w="312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Spending exceeds productive capacity</w:t>
            </w:r>
          </w:p>
        </w:tc>
        <w:tc>
          <w:tcPr>
            <w:tcW w:type="dxa" w:w="312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Emission exceeds CU growth (controlled by D)</w:t>
            </w:r>
          </w:p>
        </w:tc>
      </w:tr>
      <w:tr>
        <w:tc>
          <w:tcPr>
            <w:tcW w:type="dxa" w:w="312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Budget Deficit</w:t>
            </w:r>
          </w:p>
        </w:tc>
        <w:tc>
          <w:tcPr>
            <w:tcW w:type="dxa" w:w="312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Spending &gt; Tax revenue</w:t>
            </w:r>
          </w:p>
        </w:tc>
        <w:tc>
          <w:tcPr>
            <w:tcW w:type="dxa" w:w="312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More mining issued than burned (early phases)</w:t>
            </w:r>
          </w:p>
        </w:tc>
      </w:tr>
      <w:tr>
        <w:tc>
          <w:tcPr>
            <w:tcW w:type="dxa" w:w="312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Budget Surplus</w:t>
            </w:r>
          </w:p>
        </w:tc>
        <w:tc>
          <w:tcPr>
            <w:tcW w:type="dxa" w:w="312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Tax revenue &gt; Spending</w:t>
            </w:r>
          </w:p>
        </w:tc>
        <w:tc>
          <w:tcPr>
            <w:tcW w:type="dxa" w:w="312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More burned than mined (Year 3+ deflationary phase)</w:t>
            </w:r>
          </w:p>
        </w:tc>
      </w:tr>
    </w:tbl>
    <w:p>
      <w:r>
        <w:rPr>
          <w:sz w:val="20"/>
          <w:szCs w:val="20"/>
        </w:rPr>
        <w:t xml:space="preserve"/>
      </w:r>
    </w:p>
    <w:p>
      <w:pPr>
        <w:pStyle w:val="Heading2"/>
        <w:spacing w:after="120" w:before="320"/>
      </w:pPr>
      <w:r>
        <w:rPr>
          <w:rFonts w:ascii="Arial" w:cs="Arial" w:eastAsia="Arial" w:hAnsi="Arial"/>
          <w:b/>
          <w:bCs/>
          <w:color w:val="1A2B6B"/>
          <w:sz w:val="26"/>
          <w:szCs w:val="26"/>
        </w:rPr>
        <w:t xml:space="preserve">8.2  MMT Token Issuance Rules</w:t>
      </w:r>
    </w:p>
    <w:p>
      <w:pPr>
        <w:spacing w:after="80" w:before="60"/>
      </w:pPr>
      <w:r>
        <w:rPr>
          <w:rFonts w:ascii="Arial" w:cs="Arial" w:eastAsia="Arial" w:hAnsi="Arial"/>
          <w:color w:val="0A0F1E"/>
          <w:sz w:val="22"/>
          <w:szCs w:val="22"/>
        </w:rPr>
        <w:t xml:space="preserve">AIONE v2.0 adopts five MMT-derived issuance principles embedded in the smart contract governance:</w:t>
      </w:r>
    </w:p>
    <w:p>
      <w:pPr>
        <w:pStyle w:val="ListParagraph"/>
        <w:numPr>
          <w:ilvl w:val="0"/>
          <w:numId w:val="2"/>
        </w:numPr>
        <w:spacing w:after="40" w:before="40"/>
      </w:pPr>
      <w:r>
        <w:rPr>
          <w:rFonts w:ascii="Arial" w:cs="Arial" w:eastAsia="Arial" w:hAnsi="Arial"/>
          <w:color w:val="0A0F1E"/>
          <w:sz w:val="21"/>
          <w:szCs w:val="21"/>
        </w:rPr>
        <w:t xml:space="preserve">Productive Capacity Rule: total monthly token issuance cannot exceed CU_actual × conversion_rate. Tokens are only issued against verified compute. Idle capacity does not generate money.</w:t>
      </w:r>
    </w:p>
    <w:p>
      <w:pPr>
        <w:pStyle w:val="ListParagraph"/>
        <w:numPr>
          <w:ilvl w:val="0"/>
          <w:numId w:val="2"/>
        </w:numPr>
        <w:spacing w:after="40" w:before="40"/>
      </w:pPr>
      <w:r>
        <w:rPr>
          <w:rFonts w:ascii="Arial" w:cs="Arial" w:eastAsia="Arial" w:hAnsi="Arial"/>
          <w:color w:val="0A0F1E"/>
          <w:sz w:val="21"/>
          <w:szCs w:val="21"/>
        </w:rPr>
        <w:t xml:space="preserve">Full Employment Rule: the network targets 85% utilisation of the mining capacity ceiling. When utilisation falls below 85%, D decreases to incentivise usage. When above 95%, D increases.</w:t>
      </w:r>
    </w:p>
    <w:p>
      <w:pPr>
        <w:pStyle w:val="ListParagraph"/>
        <w:numPr>
          <w:ilvl w:val="0"/>
          <w:numId w:val="2"/>
        </w:numPr>
        <w:spacing w:after="40" w:before="40"/>
      </w:pPr>
      <w:r>
        <w:rPr>
          <w:rFonts w:ascii="Arial" w:cs="Arial" w:eastAsia="Arial" w:hAnsi="Arial"/>
          <w:color w:val="0A0F1E"/>
          <w:sz w:val="21"/>
          <w:szCs w:val="21"/>
        </w:rPr>
        <w:t xml:space="preserve">Functional Finance Rule: token burns (the "tax") are calibrated to maintain net real growth in circulating supply of approximately -2% to -5% annually in Years 3+, targeting purchasing power appreciation.</w:t>
      </w:r>
    </w:p>
    <w:p>
      <w:pPr>
        <w:pStyle w:val="ListParagraph"/>
        <w:numPr>
          <w:ilvl w:val="0"/>
          <w:numId w:val="2"/>
        </w:numPr>
        <w:spacing w:after="40" w:before="40"/>
      </w:pPr>
      <w:r>
        <w:rPr>
          <w:rFonts w:ascii="Arial" w:cs="Arial" w:eastAsia="Arial" w:hAnsi="Arial"/>
          <w:color w:val="0A0F1E"/>
          <w:sz w:val="21"/>
          <w:szCs w:val="21"/>
        </w:rPr>
        <w:t xml:space="preserve">Advance Spending Rule: AMI issuances (debt) are permitted only up to 3× the trailing 90-day subscription revenue. This is the FFDE's debt ceiling — preventing over-issuance.</w:t>
      </w:r>
    </w:p>
    <w:p>
      <w:pPr>
        <w:pStyle w:val="ListParagraph"/>
        <w:numPr>
          <w:ilvl w:val="0"/>
          <w:numId w:val="2"/>
        </w:numPr>
        <w:spacing w:after="40" w:before="40"/>
      </w:pPr>
      <w:r>
        <w:rPr>
          <w:rFonts w:ascii="Arial" w:cs="Arial" w:eastAsia="Arial" w:hAnsi="Arial"/>
          <w:color w:val="0A0F1E"/>
          <w:sz w:val="21"/>
          <w:szCs w:val="21"/>
        </w:rPr>
        <w:t xml:space="preserve">Sectoral Balance Rule: the sum of (tokens mined) - (tokens burned) = net new tokens to the economy. Governance monitors this in real time on-chain.</w:t>
      </w:r>
    </w:p>
    <w:p>
      <w:r>
        <w:rPr>
          <w:sz w:val="20"/>
          <w:szCs w:val="20"/>
        </w:rPr>
        <w:t xml:space="preserve"/>
      </w:r>
    </w:p>
    <w:p>
      <w:pPr>
        <w:pStyle w:val="Heading2"/>
        <w:spacing w:after="120" w:before="320"/>
      </w:pPr>
      <w:r>
        <w:rPr>
          <w:rFonts w:ascii="Arial" w:cs="Arial" w:eastAsia="Arial" w:hAnsi="Arial"/>
          <w:b/>
          <w:bCs/>
          <w:color w:val="1A2B6B"/>
          <w:sz w:val="26"/>
          <w:szCs w:val="26"/>
        </w:rPr>
        <w:t xml:space="preserve">8.3  Token Monetary Policy Instruments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2D6BE4" w:sz="1"/>
              <w:left w:val="single" w:color="2D6BE4" w:sz="1"/>
              <w:bottom w:val="single" w:color="2D6BE4" w:sz="1"/>
              <w:right w:val="single" w:color="2D6BE4" w:sz="1"/>
            </w:tcBorders>
            <w:shd w:fill="1A2B6B" w:val="clear"/>
            <w:tcMar>
              <w:top w:type="dxa" w:w="80"/>
              <w:left w:type="dxa" w:w="120"/>
              <w:bottom w:type="dxa" w:w="80"/>
              <w:right w:type="dxa" w:w="120"/>
            </w:tcMar>
            <w:vAlign w:val="center"/>
          </w:tcPr>
          <w:p>
            <w:pPr>
              <w:spacing w:after="0" w:before="0"/>
              <w:jc w:val="center"/>
            </w:pPr>
            <w:r>
              <w:rPr>
                <w:rFonts w:ascii="Arial" w:cs="Arial" w:eastAsia="Arial" w:hAnsi="Arial"/>
                <w:b/>
                <w:bCs/>
                <w:color w:val="FFFFFF"/>
                <w:sz w:val="19"/>
                <w:szCs w:val="19"/>
              </w:rPr>
              <w:t xml:space="preserve">Policy Instrument</w:t>
            </w:r>
          </w:p>
        </w:tc>
        <w:tc>
          <w:tcPr>
            <w:tcW w:type="dxa" w:w="2340"/>
            <w:tcBorders>
              <w:top w:val="single" w:color="2D6BE4" w:sz="1"/>
              <w:left w:val="single" w:color="2D6BE4" w:sz="1"/>
              <w:bottom w:val="single" w:color="2D6BE4" w:sz="1"/>
              <w:right w:val="single" w:color="2D6BE4" w:sz="1"/>
            </w:tcBorders>
            <w:shd w:fill="1A2B6B" w:val="clear"/>
            <w:tcMar>
              <w:top w:type="dxa" w:w="80"/>
              <w:left w:type="dxa" w:w="120"/>
              <w:bottom w:type="dxa" w:w="80"/>
              <w:right w:type="dxa" w:w="120"/>
            </w:tcMar>
            <w:vAlign w:val="center"/>
          </w:tcPr>
          <w:p>
            <w:pPr>
              <w:spacing w:after="0" w:before="0"/>
              <w:jc w:val="center"/>
            </w:pPr>
            <w:r>
              <w:rPr>
                <w:rFonts w:ascii="Arial" w:cs="Arial" w:eastAsia="Arial" w:hAnsi="Arial"/>
                <w:b/>
                <w:bCs/>
                <w:color w:val="FFFFFF"/>
                <w:sz w:val="19"/>
                <w:szCs w:val="19"/>
              </w:rPr>
              <w:t xml:space="preserve">Direction</w:t>
            </w:r>
          </w:p>
        </w:tc>
        <w:tc>
          <w:tcPr>
            <w:tcW w:type="dxa" w:w="2340"/>
            <w:tcBorders>
              <w:top w:val="single" w:color="2D6BE4" w:sz="1"/>
              <w:left w:val="single" w:color="2D6BE4" w:sz="1"/>
              <w:bottom w:val="single" w:color="2D6BE4" w:sz="1"/>
              <w:right w:val="single" w:color="2D6BE4" w:sz="1"/>
            </w:tcBorders>
            <w:shd w:fill="1A2B6B" w:val="clear"/>
            <w:tcMar>
              <w:top w:type="dxa" w:w="80"/>
              <w:left w:type="dxa" w:w="120"/>
              <w:bottom w:type="dxa" w:w="80"/>
              <w:right w:type="dxa" w:w="120"/>
            </w:tcMar>
            <w:vAlign w:val="center"/>
          </w:tcPr>
          <w:p>
            <w:pPr>
              <w:spacing w:after="0" w:before="0"/>
              <w:jc w:val="center"/>
            </w:pPr>
            <w:r>
              <w:rPr>
                <w:rFonts w:ascii="Arial" w:cs="Arial" w:eastAsia="Arial" w:hAnsi="Arial"/>
                <w:b/>
                <w:bCs/>
                <w:color w:val="FFFFFF"/>
                <w:sz w:val="19"/>
                <w:szCs w:val="19"/>
              </w:rPr>
              <w:t xml:space="preserve">Mechanism</w:t>
            </w:r>
          </w:p>
        </w:tc>
        <w:tc>
          <w:tcPr>
            <w:tcW w:type="dxa" w:w="2340"/>
            <w:tcBorders>
              <w:top w:val="single" w:color="2D6BE4" w:sz="1"/>
              <w:left w:val="single" w:color="2D6BE4" w:sz="1"/>
              <w:bottom w:val="single" w:color="2D6BE4" w:sz="1"/>
              <w:right w:val="single" w:color="2D6BE4" w:sz="1"/>
            </w:tcBorders>
            <w:shd w:fill="1A2B6B" w:val="clear"/>
            <w:tcMar>
              <w:top w:type="dxa" w:w="80"/>
              <w:left w:type="dxa" w:w="120"/>
              <w:bottom w:type="dxa" w:w="80"/>
              <w:right w:type="dxa" w:w="120"/>
            </w:tcMar>
            <w:vAlign w:val="center"/>
          </w:tcPr>
          <w:p>
            <w:pPr>
              <w:spacing w:after="0" w:before="0"/>
              <w:jc w:val="center"/>
            </w:pPr>
            <w:r>
              <w:rPr>
                <w:rFonts w:ascii="Arial" w:cs="Arial" w:eastAsia="Arial" w:hAnsi="Arial"/>
                <w:b/>
                <w:bCs/>
                <w:color w:val="FFFFFF"/>
                <w:sz w:val="19"/>
                <w:szCs w:val="19"/>
              </w:rPr>
              <w:t xml:space="preserve">MMT Analogue</w:t>
            </w:r>
          </w:p>
        </w:tc>
      </w:tr>
      <w:tr>
        <w:tc>
          <w:tcPr>
            <w:tcW w:type="dxa" w:w="234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Network Difficulty (D)</w:t>
            </w:r>
          </w:p>
        </w:tc>
        <w:tc>
          <w:tcPr>
            <w:tcW w:type="dxa" w:w="234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Tightening</w:t>
            </w:r>
          </w:p>
        </w:tc>
        <w:tc>
          <w:tcPr>
            <w:tcW w:type="dxa" w:w="234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Raise D → less tokens per CU unit → reduce emission</w:t>
            </w:r>
          </w:p>
        </w:tc>
        <w:tc>
          <w:tcPr>
            <w:tcW w:type="dxa" w:w="234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Interest rate increase</w:t>
            </w:r>
          </w:p>
        </w:tc>
      </w:tr>
      <w:tr>
        <w:tc>
          <w:tcPr>
            <w:tcW w:type="dxa" w:w="234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LockMultiplier boost</w:t>
            </w:r>
          </w:p>
        </w:tc>
        <w:tc>
          <w:tcPr>
            <w:tcW w:type="dxa" w:w="234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Tightening</w:t>
            </w:r>
          </w:p>
        </w:tc>
        <w:tc>
          <w:tcPr>
            <w:tcW w:type="dxa" w:w="234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Raise LM bonuses → more tokens locked → reduce circulation</w:t>
            </w:r>
          </w:p>
        </w:tc>
        <w:tc>
          <w:tcPr>
            <w:tcW w:type="dxa" w:w="234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Reserve requirement raise</w:t>
            </w:r>
          </w:p>
        </w:tc>
      </w:tr>
      <w:tr>
        <w:tc>
          <w:tcPr>
            <w:tcW w:type="dxa" w:w="234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AMI Reserve Buyback</w:t>
            </w:r>
          </w:p>
        </w:tc>
        <w:tc>
          <w:tcPr>
            <w:tcW w:type="dxa" w:w="234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Tightening</w:t>
            </w:r>
          </w:p>
        </w:tc>
        <w:tc>
          <w:tcPr>
            <w:tcW w:type="dxa" w:w="234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Use subscription revenue to buy &amp; burn → reduce supply</w:t>
            </w:r>
          </w:p>
        </w:tc>
        <w:tc>
          <w:tcPr>
            <w:tcW w:type="dxa" w:w="234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Open market operations (contractionary)</w:t>
            </w:r>
          </w:p>
        </w:tc>
      </w:tr>
      <w:tr>
        <w:tc>
          <w:tcPr>
            <w:tcW w:type="dxa" w:w="234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D reduction</w:t>
            </w:r>
          </w:p>
        </w:tc>
        <w:tc>
          <w:tcPr>
            <w:tcW w:type="dxa" w:w="234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Easing</w:t>
            </w:r>
          </w:p>
        </w:tc>
        <w:tc>
          <w:tcPr>
            <w:tcW w:type="dxa" w:w="234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Lower D → more tokens per CU → increase emission</w:t>
            </w:r>
          </w:p>
        </w:tc>
        <w:tc>
          <w:tcPr>
            <w:tcW w:type="dxa" w:w="234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Rate cut / QE</w:t>
            </w:r>
          </w:p>
        </w:tc>
      </w:tr>
      <w:tr>
        <w:tc>
          <w:tcPr>
            <w:tcW w:type="dxa" w:w="234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AMI advance increase</w:t>
            </w:r>
          </w:p>
        </w:tc>
        <w:tc>
          <w:tcPr>
            <w:tcW w:type="dxa" w:w="234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Easing</w:t>
            </w:r>
          </w:p>
        </w:tc>
        <w:tc>
          <w:tcPr>
            <w:tcW w:type="dxa" w:w="234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Issue more advance tokens to MDC holders → increase liquidity</w:t>
            </w:r>
          </w:p>
        </w:tc>
        <w:tc>
          <w:tcPr>
            <w:tcW w:type="dxa" w:w="234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Fiscal stimulus</w:t>
            </w:r>
          </w:p>
        </w:tc>
      </w:tr>
      <w:tr>
        <w:tc>
          <w:tcPr>
            <w:tcW w:type="dxa" w:w="234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Quarterly Buyback</w:t>
            </w:r>
          </w:p>
        </w:tc>
        <w:tc>
          <w:tcPr>
            <w:tcW w:type="dxa" w:w="234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Structural burn</w:t>
            </w:r>
          </w:p>
        </w:tc>
        <w:tc>
          <w:tcPr>
            <w:tcW w:type="dxa" w:w="234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5% of gross revenue buys and burns AIONE quarterly</w:t>
            </w:r>
          </w:p>
        </w:tc>
        <w:tc>
          <w:tcPr>
            <w:tcW w:type="dxa" w:w="234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Sovereign debt retirement</w:t>
            </w:r>
          </w:p>
        </w:tc>
      </w:tr>
    </w:tbl>
    <w:p>
      <w:r>
        <w:rPr>
          <w:sz w:val="20"/>
          <w:szCs w:val="20"/>
        </w:rPr>
        <w:t xml:space="preserve"/>
      </w:r>
    </w:p>
    <w:p>
      <w:pPr>
        <w:pStyle w:val="Heading1"/>
        <w:pBdr>
          <w:bottom w:val="single" w:color="2D6BE4" w:sz="8" w:space="4"/>
        </w:pBdr>
        <w:spacing w:after="200" w:before="480"/>
      </w:pPr>
      <w:r>
        <w:rPr>
          <w:rFonts w:ascii="Arial" w:cs="Arial" w:eastAsia="Arial" w:hAnsi="Arial"/>
          <w:b/>
          <w:bCs/>
          <w:color w:val="1A2B6B"/>
          <w:sz w:val="36"/>
          <w:szCs w:val="36"/>
        </w:rPr>
        <w:t xml:space="preserve">9. Mundell Triangle Staking Architecture</w:t>
      </w:r>
    </w:p>
    <w:p>
      <w:pPr>
        <w:pStyle w:val="Heading2"/>
        <w:spacing w:after="120" w:before="320"/>
      </w:pPr>
      <w:r>
        <w:rPr>
          <w:rFonts w:ascii="Arial" w:cs="Arial" w:eastAsia="Arial" w:hAnsi="Arial"/>
          <w:b/>
          <w:bCs/>
          <w:color w:val="1A2B6B"/>
          <w:sz w:val="26"/>
          <w:szCs w:val="26"/>
        </w:rPr>
        <w:t xml:space="preserve">9.1  The Impossible Trinity Applied to AIONE</w:t>
      </w:r>
    </w:p>
    <w:p>
      <w:pPr>
        <w:spacing w:after="80" w:before="60"/>
      </w:pPr>
      <w:r>
        <w:rPr>
          <w:rFonts w:ascii="Arial" w:cs="Arial" w:eastAsia="Arial" w:hAnsi="Arial"/>
          <w:color w:val="0A0F1E"/>
          <w:sz w:val="22"/>
          <w:szCs w:val="22"/>
        </w:rPr>
        <w:t xml:space="preserve">Robert Mundell's Impossible Trinity (or Trilemma) states that no economic system can simultaneously achieve all three of: (A) Free Capital Movement, (B) Fixed/Stable Exchange Rate, and (C) Independent Monetary Policy. A system must sacrifice one vertex to preserve the other two.</w:t>
      </w:r>
    </w:p>
    <w:p>
      <w:pPr>
        <w:spacing w:after="80" w:before="60"/>
      </w:pPr>
      <w:r>
        <w:rPr>
          <w:rFonts w:ascii="Arial" w:cs="Arial" w:eastAsia="Arial" w:hAnsi="Arial"/>
          <w:color w:val="0A0F1E"/>
          <w:sz w:val="22"/>
          <w:szCs w:val="22"/>
        </w:rPr>
        <w:t xml:space="preserve">AIONE v2.0 explicitly selects its sacrifice: it partially restricts free capital movement through incentivised (not coercive) staking and lock-up mechanisms. In return, it achieves both price stability (via controlled emission and burns) and monetary sovereignty (DAO-controlled emission parameters).</w:t>
      </w:r>
    </w:p>
    <w:p>
      <w:r>
        <w:rPr>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2D6BE4" w:sz="1"/>
              <w:left w:val="single" w:color="2D6BE4" w:sz="1"/>
              <w:bottom w:val="single" w:color="2D6BE4" w:sz="1"/>
              <w:right w:val="single" w:color="2D6BE4" w:sz="1"/>
            </w:tcBorders>
            <w:shd w:fill="D1FAE5" w:val="clear"/>
            <w:tcMar>
              <w:top w:type="dxa" w:w="80"/>
              <w:left w:type="dxa" w:w="120"/>
              <w:bottom w:type="dxa" w:w="80"/>
              <w:right w:type="dxa" w:w="120"/>
            </w:tcMar>
          </w:tcPr>
          <w:p>
            <w:pPr>
              <w:spacing w:after="0" w:before="0"/>
              <w:jc w:val="center"/>
            </w:pPr>
            <w:r>
              <w:rPr>
                <w:rFonts w:ascii="Arial" w:cs="Arial" w:eastAsia="Arial" w:hAnsi="Arial"/>
                <w:b/>
                <w:bCs/>
                <w:color w:val="065F46"/>
                <w:sz w:val="20"/>
                <w:szCs w:val="20"/>
              </w:rPr>
              <w:t xml:space="preserve">(B) PRICE STABILITY</w:t>
            </w:r>
          </w:p>
          <w:p>
            <w:pPr>
              <w:spacing w:after="0" w:before="40"/>
              <w:jc w:val="center"/>
            </w:pPr>
            <w:r>
              <w:rPr>
                <w:rFonts w:ascii="Arial" w:cs="Arial" w:eastAsia="Arial" w:hAnsi="Arial"/>
                <w:color w:val="0A0F1E"/>
                <w:sz w:val="17"/>
                <w:szCs w:val="17"/>
              </w:rPr>
              <w:t xml:space="preserve">ACHIEVED via: burns, halving, D-adjustment, buybacks</w:t>
            </w:r>
          </w:p>
        </w:tc>
        <w:tc>
          <w:tcPr>
            <w:tcW w:type="dxa" w:w="3120"/>
            <w:tcBorders>
              <w:top w:val="single" w:color="2D6BE4" w:sz="1"/>
              <w:left w:val="single" w:color="2D6BE4" w:sz="1"/>
              <w:bottom w:val="single" w:color="2D6BE4" w:sz="1"/>
              <w:right w:val="single" w:color="2D6BE4" w:sz="1"/>
            </w:tcBorders>
            <w:shd w:fill="EFF3FB" w:val="clear"/>
            <w:tcMar>
              <w:top w:type="dxa" w:w="80"/>
              <w:left w:type="dxa" w:w="120"/>
              <w:bottom w:type="dxa" w:w="80"/>
              <w:right w:type="dxa" w:w="120"/>
            </w:tcMar>
          </w:tcPr>
          <w:p>
            <w:pPr>
              <w:spacing w:after="0" w:before="0"/>
              <w:jc w:val="center"/>
            </w:pPr>
            <w:r>
              <w:rPr>
                <w:rFonts w:ascii="Arial" w:cs="Arial" w:eastAsia="Arial" w:hAnsi="Arial"/>
                <w:b/>
                <w:bCs/>
                <w:color w:val="2D6BE4"/>
                <w:sz w:val="20"/>
                <w:szCs w:val="20"/>
              </w:rPr>
              <w:t xml:space="preserve">AIONE's CHOICE</w:t>
            </w:r>
          </w:p>
          <w:p>
            <w:pPr>
              <w:spacing w:after="0" w:before="40"/>
              <w:jc w:val="center"/>
            </w:pPr>
            <w:r>
              <w:rPr>
                <w:rFonts w:ascii="Arial" w:cs="Arial" w:eastAsia="Arial" w:hAnsi="Arial"/>
                <w:color w:val="0A0F1E"/>
                <w:sz w:val="17"/>
                <w:szCs w:val="17"/>
              </w:rPr>
              <w:t xml:space="preserve">Sacrifice (A) partially via incentivised staking</w:t>
            </w:r>
          </w:p>
        </w:tc>
        <w:tc>
          <w:tcPr>
            <w:tcW w:type="dxa" w:w="3120"/>
            <w:tcBorders>
              <w:top w:val="single" w:color="2D6BE4" w:sz="1"/>
              <w:left w:val="single" w:color="2D6BE4" w:sz="1"/>
              <w:bottom w:val="single" w:color="2D6BE4" w:sz="1"/>
              <w:right w:val="single" w:color="2D6BE4" w:sz="1"/>
            </w:tcBorders>
            <w:shd w:fill="D1FAE5" w:val="clear"/>
            <w:tcMar>
              <w:top w:type="dxa" w:w="80"/>
              <w:left w:type="dxa" w:w="120"/>
              <w:bottom w:type="dxa" w:w="80"/>
              <w:right w:type="dxa" w:w="120"/>
            </w:tcMar>
          </w:tcPr>
          <w:p>
            <w:pPr>
              <w:spacing w:after="0" w:before="0"/>
              <w:jc w:val="center"/>
            </w:pPr>
            <w:r>
              <w:rPr>
                <w:rFonts w:ascii="Arial" w:cs="Arial" w:eastAsia="Arial" w:hAnsi="Arial"/>
                <w:b/>
                <w:bCs/>
                <w:color w:val="065F46"/>
                <w:sz w:val="20"/>
                <w:szCs w:val="20"/>
              </w:rPr>
              <w:t xml:space="preserve">(C) MONETARY SOVEREIGNTY</w:t>
            </w:r>
          </w:p>
          <w:p>
            <w:pPr>
              <w:spacing w:after="0" w:before="40"/>
              <w:jc w:val="center"/>
            </w:pPr>
            <w:r>
              <w:rPr>
                <w:rFonts w:ascii="Arial" w:cs="Arial" w:eastAsia="Arial" w:hAnsi="Arial"/>
                <w:color w:val="0A0F1E"/>
                <w:sz w:val="17"/>
                <w:szCs w:val="17"/>
              </w:rPr>
              <w:t xml:space="preserve">ACHIEVED via: DAO governance, D-parameter, emission schedule</w:t>
            </w:r>
          </w:p>
        </w:tc>
      </w:tr>
      <w:tr>
        <w:tc>
          <w:tcPr>
            <w:tcW w:type="dxa" w:w="9360"/>
            <w:gridSpan w:val="3"/>
            <w:tcBorders>
              <w:top w:val="single" w:color="2D6BE4" w:sz="1"/>
              <w:left w:val="single" w:color="2D6BE4" w:sz="1"/>
              <w:bottom w:val="single" w:color="2D6BE4" w:sz="1"/>
              <w:right w:val="single" w:color="2D6BE4" w:sz="1"/>
            </w:tcBorders>
            <w:shd w:fill="FEE2E2" w:val="clear"/>
            <w:tcMar>
              <w:top w:type="dxa" w:w="80"/>
              <w:left w:type="dxa" w:w="120"/>
              <w:bottom w:type="dxa" w:w="80"/>
              <w:right w:type="dxa" w:w="120"/>
            </w:tcMar>
          </w:tcPr>
          <w:p>
            <w:pPr>
              <w:spacing w:after="0" w:before="0"/>
              <w:jc w:val="center"/>
            </w:pPr>
            <w:r>
              <w:rPr>
                <w:rFonts w:ascii="Arial" w:cs="Arial" w:eastAsia="Arial" w:hAnsi="Arial"/>
                <w:b/>
                <w:bCs/>
                <w:color w:val="991B1B"/>
                <w:sz w:val="19"/>
                <w:szCs w:val="19"/>
              </w:rPr>
              <w:t xml:space="preserve">(A) FREE CAPITAL MOVEMENT — PARTIALLY SACRIFICED via LockMultiplier incentives &amp; staking lockups</w:t>
            </w:r>
          </w:p>
        </w:tc>
      </w:tr>
    </w:tbl>
    <w:p>
      <w:r>
        <w:rPr>
          <w:sz w:val="20"/>
          <w:szCs w:val="20"/>
        </w:rPr>
        <w:t xml:space="preserve"/>
      </w:r>
    </w:p>
    <w:p>
      <w:pPr>
        <w:pStyle w:val="Heading2"/>
        <w:spacing w:after="120" w:before="320"/>
      </w:pPr>
      <w:r>
        <w:rPr>
          <w:rFonts w:ascii="Arial" w:cs="Arial" w:eastAsia="Arial" w:hAnsi="Arial"/>
          <w:b/>
          <w:bCs/>
          <w:color w:val="1A2B6B"/>
          <w:sz w:val="26"/>
          <w:szCs w:val="26"/>
        </w:rPr>
        <w:t xml:space="preserve">9.2  How Staking Replaces Coercive Capital Controls</w:t>
      </w:r>
    </w:p>
    <w:p>
      <w:pPr>
        <w:spacing w:after="80" w:before="60"/>
      </w:pPr>
      <w:r>
        <w:rPr>
          <w:rFonts w:ascii="Arial" w:cs="Arial" w:eastAsia="Arial" w:hAnsi="Arial"/>
          <w:color w:val="0A0F1E"/>
          <w:sz w:val="22"/>
          <w:szCs w:val="22"/>
        </w:rPr>
        <w:t xml:space="preserve">Traditional capital controls are coercive — governments force restrictions on outflows. AIONE v2.0 achieves the same economic effect through incentive design: by making lock-up so economically attractive (2.0× cashback on 365-day lock, 4.0× SF on Super Node), rational actors voluntarily restrict their own capital mobility. The market achieves the Mundell stability condition without compulsion.</w:t>
      </w:r>
    </w:p>
    <w:p>
      <w:pPr>
        <w:pStyle w:val="Heading2"/>
        <w:spacing w:after="120" w:before="320"/>
      </w:pPr>
      <w:r>
        <w:rPr>
          <w:rFonts w:ascii="Arial" w:cs="Arial" w:eastAsia="Arial" w:hAnsi="Arial"/>
          <w:b/>
          <w:bCs/>
          <w:color w:val="1A2B6B"/>
          <w:sz w:val="26"/>
          <w:szCs w:val="26"/>
        </w:rPr>
        <w:t xml:space="preserve">9.3  Enhanced Staking Tiers (v2.0)</w:t>
      </w:r>
    </w:p>
    <w:p>
      <w:pPr>
        <w:spacing w:after="80" w:before="60"/>
      </w:pPr>
      <w:r>
        <w:rPr>
          <w:rFonts w:ascii="Arial" w:cs="Arial" w:eastAsia="Arial" w:hAnsi="Arial"/>
          <w:color w:val="0A0F1E"/>
          <w:sz w:val="22"/>
          <w:szCs w:val="22"/>
        </w:rPr>
        <w:t xml:space="preserve">v2.0 introduces Time-Weighted Staking across all levels, where longer lockups receive exponentially higher rewards:</w:t>
      </w:r>
    </w:p>
    <w:p>
      <w:r>
        <w:rPr>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170"/>
        <w:gridCol w:w="1170"/>
        <w:gridCol w:w="1170"/>
        <w:gridCol w:w="1170"/>
        <w:gridCol w:w="1170"/>
        <w:gridCol w:w="1170"/>
        <w:gridCol w:w="1170"/>
        <w:gridCol w:w="1170"/>
      </w:tblGrid>
      <w:tr>
        <w:tc>
          <w:tcPr>
            <w:tcW w:type="dxa" w:w="1170"/>
            <w:tcBorders>
              <w:top w:val="single" w:color="2D6BE4" w:sz="1"/>
              <w:left w:val="single" w:color="2D6BE4" w:sz="1"/>
              <w:bottom w:val="single" w:color="2D6BE4" w:sz="1"/>
              <w:right w:val="single" w:color="2D6BE4" w:sz="1"/>
            </w:tcBorders>
            <w:shd w:fill="1A2B6B" w:val="clear"/>
            <w:tcMar>
              <w:top w:type="dxa" w:w="80"/>
              <w:left w:type="dxa" w:w="120"/>
              <w:bottom w:type="dxa" w:w="80"/>
              <w:right w:type="dxa" w:w="120"/>
            </w:tcMar>
            <w:vAlign w:val="center"/>
          </w:tcPr>
          <w:p>
            <w:pPr>
              <w:spacing w:after="0" w:before="0"/>
              <w:jc w:val="center"/>
            </w:pPr>
            <w:r>
              <w:rPr>
                <w:rFonts w:ascii="Arial" w:cs="Arial" w:eastAsia="Arial" w:hAnsi="Arial"/>
                <w:b/>
                <w:bCs/>
                <w:color w:val="FFFFFF"/>
                <w:sz w:val="19"/>
                <w:szCs w:val="19"/>
              </w:rPr>
              <w:t xml:space="preserve">Stake Tier</w:t>
            </w:r>
          </w:p>
        </w:tc>
        <w:tc>
          <w:tcPr>
            <w:tcW w:type="dxa" w:w="1170"/>
            <w:tcBorders>
              <w:top w:val="single" w:color="2D6BE4" w:sz="1"/>
              <w:left w:val="single" w:color="2D6BE4" w:sz="1"/>
              <w:bottom w:val="single" w:color="2D6BE4" w:sz="1"/>
              <w:right w:val="single" w:color="2D6BE4" w:sz="1"/>
            </w:tcBorders>
            <w:shd w:fill="1A2B6B" w:val="clear"/>
            <w:tcMar>
              <w:top w:type="dxa" w:w="80"/>
              <w:left w:type="dxa" w:w="120"/>
              <w:bottom w:type="dxa" w:w="80"/>
              <w:right w:type="dxa" w:w="120"/>
            </w:tcMar>
            <w:vAlign w:val="center"/>
          </w:tcPr>
          <w:p>
            <w:pPr>
              <w:spacing w:after="0" w:before="0"/>
              <w:jc w:val="center"/>
            </w:pPr>
            <w:r>
              <w:rPr>
                <w:rFonts w:ascii="Arial" w:cs="Arial" w:eastAsia="Arial" w:hAnsi="Arial"/>
                <w:b/>
                <w:bCs/>
                <w:color w:val="FFFFFF"/>
                <w:sz w:val="19"/>
                <w:szCs w:val="19"/>
              </w:rPr>
              <w:t xml:space="preserve">Min. Stake</w:t>
            </w:r>
          </w:p>
        </w:tc>
        <w:tc>
          <w:tcPr>
            <w:tcW w:type="dxa" w:w="1170"/>
            <w:tcBorders>
              <w:top w:val="single" w:color="2D6BE4" w:sz="1"/>
              <w:left w:val="single" w:color="2D6BE4" w:sz="1"/>
              <w:bottom w:val="single" w:color="2D6BE4" w:sz="1"/>
              <w:right w:val="single" w:color="2D6BE4" w:sz="1"/>
            </w:tcBorders>
            <w:shd w:fill="1A2B6B" w:val="clear"/>
            <w:tcMar>
              <w:top w:type="dxa" w:w="80"/>
              <w:left w:type="dxa" w:w="120"/>
              <w:bottom w:type="dxa" w:w="80"/>
              <w:right w:type="dxa" w:w="120"/>
            </w:tcMar>
            <w:vAlign w:val="center"/>
          </w:tcPr>
          <w:p>
            <w:pPr>
              <w:spacing w:after="0" w:before="0"/>
              <w:jc w:val="center"/>
            </w:pPr>
            <w:r>
              <w:rPr>
                <w:rFonts w:ascii="Arial" w:cs="Arial" w:eastAsia="Arial" w:hAnsi="Arial"/>
                <w:b/>
                <w:bCs/>
                <w:color w:val="FFFFFF"/>
                <w:sz w:val="19"/>
                <w:szCs w:val="19"/>
              </w:rPr>
              <w:t xml:space="preserve">30-day SF</w:t>
            </w:r>
          </w:p>
        </w:tc>
        <w:tc>
          <w:tcPr>
            <w:tcW w:type="dxa" w:w="1170"/>
            <w:tcBorders>
              <w:top w:val="single" w:color="2D6BE4" w:sz="1"/>
              <w:left w:val="single" w:color="2D6BE4" w:sz="1"/>
              <w:bottom w:val="single" w:color="2D6BE4" w:sz="1"/>
              <w:right w:val="single" w:color="2D6BE4" w:sz="1"/>
            </w:tcBorders>
            <w:shd w:fill="1A2B6B" w:val="clear"/>
            <w:tcMar>
              <w:top w:type="dxa" w:w="80"/>
              <w:left w:type="dxa" w:w="120"/>
              <w:bottom w:type="dxa" w:w="80"/>
              <w:right w:type="dxa" w:w="120"/>
            </w:tcMar>
            <w:vAlign w:val="center"/>
          </w:tcPr>
          <w:p>
            <w:pPr>
              <w:spacing w:after="0" w:before="0"/>
              <w:jc w:val="center"/>
            </w:pPr>
            <w:r>
              <w:rPr>
                <w:rFonts w:ascii="Arial" w:cs="Arial" w:eastAsia="Arial" w:hAnsi="Arial"/>
                <w:b/>
                <w:bCs/>
                <w:color w:val="FFFFFF"/>
                <w:sz w:val="19"/>
                <w:szCs w:val="19"/>
              </w:rPr>
              <w:t xml:space="preserve">90-day SF</w:t>
            </w:r>
          </w:p>
        </w:tc>
        <w:tc>
          <w:tcPr>
            <w:tcW w:type="dxa" w:w="1170"/>
            <w:tcBorders>
              <w:top w:val="single" w:color="2D6BE4" w:sz="1"/>
              <w:left w:val="single" w:color="2D6BE4" w:sz="1"/>
              <w:bottom w:val="single" w:color="2D6BE4" w:sz="1"/>
              <w:right w:val="single" w:color="2D6BE4" w:sz="1"/>
            </w:tcBorders>
            <w:shd w:fill="1A2B6B" w:val="clear"/>
            <w:tcMar>
              <w:top w:type="dxa" w:w="80"/>
              <w:left w:type="dxa" w:w="120"/>
              <w:bottom w:type="dxa" w:w="80"/>
              <w:right w:type="dxa" w:w="120"/>
            </w:tcMar>
            <w:vAlign w:val="center"/>
          </w:tcPr>
          <w:p>
            <w:pPr>
              <w:spacing w:after="0" w:before="0"/>
              <w:jc w:val="center"/>
            </w:pPr>
            <w:r>
              <w:rPr>
                <w:rFonts w:ascii="Arial" w:cs="Arial" w:eastAsia="Arial" w:hAnsi="Arial"/>
                <w:b/>
                <w:bCs/>
                <w:color w:val="FFFFFF"/>
                <w:sz w:val="19"/>
                <w:szCs w:val="19"/>
              </w:rPr>
              <w:t xml:space="preserve">180-day SF</w:t>
            </w:r>
          </w:p>
        </w:tc>
        <w:tc>
          <w:tcPr>
            <w:tcW w:type="dxa" w:w="1170"/>
            <w:tcBorders>
              <w:top w:val="single" w:color="2D6BE4" w:sz="1"/>
              <w:left w:val="single" w:color="2D6BE4" w:sz="1"/>
              <w:bottom w:val="single" w:color="2D6BE4" w:sz="1"/>
              <w:right w:val="single" w:color="2D6BE4" w:sz="1"/>
            </w:tcBorders>
            <w:shd w:fill="1A2B6B" w:val="clear"/>
            <w:tcMar>
              <w:top w:type="dxa" w:w="80"/>
              <w:left w:type="dxa" w:w="120"/>
              <w:bottom w:type="dxa" w:w="80"/>
              <w:right w:type="dxa" w:w="120"/>
            </w:tcMar>
            <w:vAlign w:val="center"/>
          </w:tcPr>
          <w:p>
            <w:pPr>
              <w:spacing w:after="0" w:before="0"/>
              <w:jc w:val="center"/>
            </w:pPr>
            <w:r>
              <w:rPr>
                <w:rFonts w:ascii="Arial" w:cs="Arial" w:eastAsia="Arial" w:hAnsi="Arial"/>
                <w:b/>
                <w:bCs/>
                <w:color w:val="FFFFFF"/>
                <w:sz w:val="19"/>
                <w:szCs w:val="19"/>
              </w:rPr>
              <w:t xml:space="preserve">365-day SF</w:t>
            </w:r>
          </w:p>
        </w:tc>
        <w:tc>
          <w:tcPr>
            <w:tcW w:type="dxa" w:w="1170"/>
            <w:tcBorders>
              <w:top w:val="single" w:color="2D6BE4" w:sz="1"/>
              <w:left w:val="single" w:color="2D6BE4" w:sz="1"/>
              <w:bottom w:val="single" w:color="2D6BE4" w:sz="1"/>
              <w:right w:val="single" w:color="2D6BE4" w:sz="1"/>
            </w:tcBorders>
            <w:shd w:fill="1A2B6B" w:val="clear"/>
            <w:tcMar>
              <w:top w:type="dxa" w:w="80"/>
              <w:left w:type="dxa" w:w="120"/>
              <w:bottom w:type="dxa" w:w="80"/>
              <w:right w:type="dxa" w:w="120"/>
            </w:tcMar>
            <w:vAlign w:val="center"/>
          </w:tcPr>
          <w:p>
            <w:pPr>
              <w:spacing w:after="0" w:before="0"/>
              <w:jc w:val="center"/>
            </w:pPr>
            <w:r>
              <w:rPr>
                <w:rFonts w:ascii="Arial" w:cs="Arial" w:eastAsia="Arial" w:hAnsi="Arial"/>
                <w:b/>
                <w:bCs/>
                <w:color w:val="FFFFFF"/>
                <w:sz w:val="19"/>
                <w:szCs w:val="19"/>
              </w:rPr>
              <w:t xml:space="preserve">Rev. Share</w:t>
            </w:r>
          </w:p>
        </w:tc>
        <w:tc>
          <w:tcPr>
            <w:tcW w:type="dxa" w:w="1170"/>
            <w:tcBorders>
              <w:top w:val="single" w:color="2D6BE4" w:sz="1"/>
              <w:left w:val="single" w:color="2D6BE4" w:sz="1"/>
              <w:bottom w:val="single" w:color="2D6BE4" w:sz="1"/>
              <w:right w:val="single" w:color="2D6BE4" w:sz="1"/>
            </w:tcBorders>
            <w:shd w:fill="1A2B6B" w:val="clear"/>
            <w:tcMar>
              <w:top w:type="dxa" w:w="80"/>
              <w:left w:type="dxa" w:w="120"/>
              <w:bottom w:type="dxa" w:w="80"/>
              <w:right w:type="dxa" w:w="120"/>
            </w:tcMar>
            <w:vAlign w:val="center"/>
          </w:tcPr>
          <w:p>
            <w:pPr>
              <w:spacing w:after="0" w:before="0"/>
              <w:jc w:val="center"/>
            </w:pPr>
            <w:r>
              <w:rPr>
                <w:rFonts w:ascii="Arial" w:cs="Arial" w:eastAsia="Arial" w:hAnsi="Arial"/>
                <w:b/>
                <w:bCs/>
                <w:color w:val="FFFFFF"/>
                <w:sz w:val="19"/>
                <w:szCs w:val="19"/>
              </w:rPr>
              <w:t xml:space="preserve">Max Slots</w:t>
            </w:r>
          </w:p>
        </w:tc>
      </w:tr>
      <w:tr>
        <w:tc>
          <w:tcPr>
            <w:tcW w:type="dxa" w:w="117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Standard Node</w:t>
            </w:r>
          </w:p>
        </w:tc>
        <w:tc>
          <w:tcPr>
            <w:tcW w:type="dxa" w:w="117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10,000 AIONE</w:t>
            </w:r>
          </w:p>
        </w:tc>
        <w:tc>
          <w:tcPr>
            <w:tcW w:type="dxa" w:w="117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1.2×</w:t>
            </w:r>
          </w:p>
        </w:tc>
        <w:tc>
          <w:tcPr>
            <w:tcW w:type="dxa" w:w="117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1.4×</w:t>
            </w:r>
          </w:p>
        </w:tc>
        <w:tc>
          <w:tcPr>
            <w:tcW w:type="dxa" w:w="117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1.6×</w:t>
            </w:r>
          </w:p>
        </w:tc>
        <w:tc>
          <w:tcPr>
            <w:tcW w:type="dxa" w:w="117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2.0×</w:t>
            </w:r>
          </w:p>
        </w:tc>
        <w:tc>
          <w:tcPr>
            <w:tcW w:type="dxa" w:w="117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w:t>
            </w:r>
          </w:p>
        </w:tc>
        <w:tc>
          <w:tcPr>
            <w:tcW w:type="dxa" w:w="117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Unlimited</w:t>
            </w:r>
          </w:p>
        </w:tc>
      </w:tr>
      <w:tr>
        <w:tc>
          <w:tcPr>
            <w:tcW w:type="dxa" w:w="117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Silver Node</w:t>
            </w:r>
          </w:p>
        </w:tc>
        <w:tc>
          <w:tcPr>
            <w:tcW w:type="dxa" w:w="117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50,000 AIONE</w:t>
            </w:r>
          </w:p>
        </w:tc>
        <w:tc>
          <w:tcPr>
            <w:tcW w:type="dxa" w:w="117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1.5×</w:t>
            </w:r>
          </w:p>
        </w:tc>
        <w:tc>
          <w:tcPr>
            <w:tcW w:type="dxa" w:w="117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1.9×</w:t>
            </w:r>
          </w:p>
        </w:tc>
        <w:tc>
          <w:tcPr>
            <w:tcW w:type="dxa" w:w="117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2.3×</w:t>
            </w:r>
          </w:p>
        </w:tc>
        <w:tc>
          <w:tcPr>
            <w:tcW w:type="dxa" w:w="117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3.0×</w:t>
            </w:r>
          </w:p>
        </w:tc>
        <w:tc>
          <w:tcPr>
            <w:tcW w:type="dxa" w:w="117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0.5% rev.</w:t>
            </w:r>
          </w:p>
        </w:tc>
        <w:tc>
          <w:tcPr>
            <w:tcW w:type="dxa" w:w="117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2,000</w:t>
            </w:r>
          </w:p>
        </w:tc>
      </w:tr>
      <w:tr>
        <w:tc>
          <w:tcPr>
            <w:tcW w:type="dxa" w:w="117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Gold Node</w:t>
            </w:r>
          </w:p>
        </w:tc>
        <w:tc>
          <w:tcPr>
            <w:tcW w:type="dxa" w:w="117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200,000 AIONE</w:t>
            </w:r>
          </w:p>
        </w:tc>
        <w:tc>
          <w:tcPr>
            <w:tcW w:type="dxa" w:w="117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2.0×</w:t>
            </w:r>
          </w:p>
        </w:tc>
        <w:tc>
          <w:tcPr>
            <w:tcW w:type="dxa" w:w="117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2.6×</w:t>
            </w:r>
          </w:p>
        </w:tc>
        <w:tc>
          <w:tcPr>
            <w:tcW w:type="dxa" w:w="117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3.2×</w:t>
            </w:r>
          </w:p>
        </w:tc>
        <w:tc>
          <w:tcPr>
            <w:tcW w:type="dxa" w:w="117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4.0×</w:t>
            </w:r>
          </w:p>
        </w:tc>
        <w:tc>
          <w:tcPr>
            <w:tcW w:type="dxa" w:w="117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2.0% rev.</w:t>
            </w:r>
          </w:p>
        </w:tc>
        <w:tc>
          <w:tcPr>
            <w:tcW w:type="dxa" w:w="117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500</w:t>
            </w:r>
          </w:p>
        </w:tc>
      </w:tr>
      <w:tr>
        <w:tc>
          <w:tcPr>
            <w:tcW w:type="dxa" w:w="117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Super Node</w:t>
            </w:r>
          </w:p>
        </w:tc>
        <w:tc>
          <w:tcPr>
            <w:tcW w:type="dxa" w:w="117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1,000,000 AIONE</w:t>
            </w:r>
          </w:p>
        </w:tc>
        <w:tc>
          <w:tcPr>
            <w:tcW w:type="dxa" w:w="117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4.0×</w:t>
            </w:r>
          </w:p>
        </w:tc>
        <w:tc>
          <w:tcPr>
            <w:tcW w:type="dxa" w:w="117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5.0×</w:t>
            </w:r>
          </w:p>
        </w:tc>
        <w:tc>
          <w:tcPr>
            <w:tcW w:type="dxa" w:w="117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6.0×</w:t>
            </w:r>
          </w:p>
        </w:tc>
        <w:tc>
          <w:tcPr>
            <w:tcW w:type="dxa" w:w="117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8.0×</w:t>
            </w:r>
          </w:p>
        </w:tc>
        <w:tc>
          <w:tcPr>
            <w:tcW w:type="dxa" w:w="117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5.0% rev.</w:t>
            </w:r>
          </w:p>
        </w:tc>
        <w:tc>
          <w:tcPr>
            <w:tcW w:type="dxa" w:w="117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50</w:t>
            </w:r>
          </w:p>
        </w:tc>
      </w:tr>
    </w:tbl>
    <w:p>
      <w:r>
        <w:rPr>
          <w:sz w:val="20"/>
          <w:szCs w:val="20"/>
        </w:rPr>
        <w:t xml:space="preserve"/>
      </w:r>
    </w:p>
    <w:p>
      <w:pPr>
        <w:pStyle w:val="Heading2"/>
        <w:spacing w:after="120" w:before="320"/>
      </w:pPr>
      <w:r>
        <w:rPr>
          <w:rFonts w:ascii="Arial" w:cs="Arial" w:eastAsia="Arial" w:hAnsi="Arial"/>
          <w:b/>
          <w:bCs/>
          <w:color w:val="1A2B6B"/>
          <w:sz w:val="26"/>
          <w:szCs w:val="26"/>
        </w:rPr>
        <w:t xml:space="preserve">9.4  Staking Lock Economics — Worked Example</w:t>
      </w:r>
    </w:p>
    <w:p>
      <w:pPr>
        <w:spacing w:after="80" w:before="60"/>
      </w:pPr>
      <w:r>
        <w:rPr>
          <w:rFonts w:ascii="Arial" w:cs="Arial" w:eastAsia="Arial" w:hAnsi="Arial"/>
          <w:color w:val="0A0F1E"/>
          <w:sz w:val="22"/>
          <w:szCs w:val="22"/>
        </w:rPr>
        <w:t xml:space="preserve">A Pro subscriber ($59/quarter) stakes 50,000 AIONE at Silver Node tier with a 365-day lock:</w:t>
      </w:r>
    </w:p>
    <w:p>
      <w:pPr>
        <w:pStyle w:val="ListParagraph"/>
        <w:numPr>
          <w:ilvl w:val="0"/>
          <w:numId w:val="2"/>
        </w:numPr>
        <w:spacing w:after="40" w:before="40"/>
      </w:pPr>
      <w:r>
        <w:rPr>
          <w:rFonts w:ascii="Arial" w:cs="Arial" w:eastAsia="Arial" w:hAnsi="Arial"/>
          <w:color w:val="0A0F1E"/>
          <w:sz w:val="21"/>
          <w:szCs w:val="21"/>
        </w:rPr>
        <w:t xml:space="preserve">Cashback: $59 × 2.0× (365-day LM) = $118 equivalent AIONE per quarter = $472/year in AIONE</w:t>
      </w:r>
    </w:p>
    <w:p>
      <w:pPr>
        <w:pStyle w:val="ListParagraph"/>
        <w:numPr>
          <w:ilvl w:val="0"/>
          <w:numId w:val="2"/>
        </w:numPr>
        <w:spacing w:after="40" w:before="40"/>
      </w:pPr>
      <w:r>
        <w:rPr>
          <w:rFonts w:ascii="Arial" w:cs="Arial" w:eastAsia="Arial" w:hAnsi="Arial"/>
          <w:color w:val="0A0F1E"/>
          <w:sz w:val="21"/>
          <w:szCs w:val="21"/>
        </w:rPr>
        <w:t xml:space="preserve">Mining SF: 3.0× on all PoU² session rewards</w:t>
      </w:r>
    </w:p>
    <w:p>
      <w:pPr>
        <w:pStyle w:val="ListParagraph"/>
        <w:numPr>
          <w:ilvl w:val="0"/>
          <w:numId w:val="2"/>
        </w:numPr>
        <w:spacing w:after="40" w:before="40"/>
      </w:pPr>
      <w:r>
        <w:rPr>
          <w:rFonts w:ascii="Arial" w:cs="Arial" w:eastAsia="Arial" w:hAnsi="Arial"/>
          <w:color w:val="0A0F1E"/>
          <w:sz w:val="21"/>
          <w:szCs w:val="21"/>
        </w:rPr>
        <w:t xml:space="preserve">Revenue share: 0.5% of platform revenue (projected $25K+/year at 50K subscribers)</w:t>
      </w:r>
    </w:p>
    <w:p>
      <w:pPr>
        <w:pStyle w:val="ListParagraph"/>
        <w:numPr>
          <w:ilvl w:val="0"/>
          <w:numId w:val="2"/>
        </w:numPr>
        <w:spacing w:after="40" w:before="40"/>
      </w:pPr>
      <w:r>
        <w:rPr>
          <w:rFonts w:ascii="Arial" w:cs="Arial" w:eastAsia="Arial" w:hAnsi="Arial"/>
          <w:color w:val="0A0F1E"/>
          <w:sz w:val="21"/>
          <w:szCs w:val="21"/>
        </w:rPr>
        <w:t xml:space="preserve">Net annual effective yield on staked position: mining rewards + rev share + 100% cashback</w:t>
      </w:r>
    </w:p>
    <w:p>
      <w:pPr>
        <w:spacing w:after="80" w:before="60"/>
      </w:pPr>
      <w:r>
        <w:rPr>
          <w:rFonts w:ascii="Arial" w:cs="Arial" w:eastAsia="Arial" w:hAnsi="Arial"/>
          <w:color w:val="0A0F1E"/>
          <w:sz w:val="22"/>
          <w:szCs w:val="22"/>
        </w:rPr>
        <w:t xml:space="preserve">At 50,000 staked AIONE and a $1.00 token price, the staker's 365-day lock return from cashback and revenue share alone exceeds 60% APY — making unstaking economically irrational for any rational holder.</w:t>
      </w:r>
    </w:p>
    <w:p>
      <w:r>
        <w:rPr>
          <w:sz w:val="20"/>
          <w:szCs w:val="20"/>
        </w:rPr>
        <w:t xml:space="preserve"/>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D6BE4" w:sz="1"/>
              <w:left w:val="single" w:color="1A2B6B" w:sz="1"/>
              <w:bottom w:val="single" w:color="2D6BE4" w:sz="1"/>
              <w:right w:val="single" w:color="1A2B6B" w:sz="1"/>
            </w:tcBorders>
            <w:shd w:fill="1A2B6B" w:val="clear"/>
            <w:tcMar>
              <w:top w:type="dxa" w:w="120"/>
              <w:left w:type="dxa" w:w="240"/>
              <w:bottom w:type="dxa" w:w="120"/>
              <w:right w:type="dxa" w:w="240"/>
            </w:tcMar>
          </w:tcPr>
          <w:p>
            <w:pPr>
              <w:spacing w:after="0" w:before="0"/>
              <w:jc w:val="center"/>
            </w:pPr>
            <w:r>
              <w:rPr>
                <w:rFonts w:ascii="Arial" w:cs="Arial" w:eastAsia="Arial" w:hAnsi="Arial"/>
                <w:b/>
                <w:bCs/>
                <w:color w:val="FFFFFF"/>
                <w:sz w:val="24"/>
                <w:szCs w:val="24"/>
              </w:rPr>
              <w:t xml:space="preserve">PART V — DEFLATIONARY FLYWHEEL &amp; VALUE ACCRUAL</w:t>
            </w:r>
          </w:p>
        </w:tc>
      </w:tr>
    </w:tbl>
    <w:p>
      <w:r>
        <w:rPr>
          <w:sz w:val="20"/>
          <w:szCs w:val="20"/>
        </w:rPr>
        <w:t xml:space="preserve"/>
      </w:r>
    </w:p>
    <w:p>
      <w:pPr>
        <w:pStyle w:val="Heading1"/>
        <w:pBdr>
          <w:bottom w:val="single" w:color="2D6BE4" w:sz="8" w:space="4"/>
        </w:pBdr>
        <w:spacing w:after="200" w:before="480"/>
      </w:pPr>
      <w:r>
        <w:rPr>
          <w:rFonts w:ascii="Arial" w:cs="Arial" w:eastAsia="Arial" w:hAnsi="Arial"/>
          <w:b/>
          <w:bCs/>
          <w:color w:val="1A2B6B"/>
          <w:sz w:val="36"/>
          <w:szCs w:val="36"/>
        </w:rPr>
        <w:t xml:space="preserve">10. The Deflationary Flywheel</w:t>
      </w:r>
    </w:p>
    <w:p>
      <w:pPr>
        <w:pStyle w:val="Heading2"/>
        <w:spacing w:after="120" w:before="320"/>
      </w:pPr>
      <w:r>
        <w:rPr>
          <w:rFonts w:ascii="Arial" w:cs="Arial" w:eastAsia="Arial" w:hAnsi="Arial"/>
          <w:b/>
          <w:bCs/>
          <w:color w:val="1A2B6B"/>
          <w:sz w:val="26"/>
          <w:szCs w:val="26"/>
        </w:rPr>
        <w:t xml:space="preserve">10.1  The Seven-Layer Burn Architecture</w:t>
      </w:r>
    </w:p>
    <w:p>
      <w:pPr>
        <w:spacing w:after="80" w:before="60"/>
      </w:pPr>
      <w:r>
        <w:rPr>
          <w:rFonts w:ascii="Arial" w:cs="Arial" w:eastAsia="Arial" w:hAnsi="Arial"/>
          <w:color w:val="0A0F1E"/>
          <w:sz w:val="22"/>
          <w:szCs w:val="22"/>
        </w:rPr>
        <w:t xml:space="preserve">AIONE v2.0 layers seven distinct deflationary mechanisms. Each activates at a different growth stage, ensuring that as the platform scales, the rate of token destruction accelerates faster than the rate of new issuance — creating the structural conditions for persistent price appreciation.</w:t>
      </w:r>
    </w:p>
    <w:p>
      <w:r>
        <w:rPr>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2D6BE4" w:sz="1"/>
              <w:left w:val="single" w:color="2D6BE4" w:sz="1"/>
              <w:bottom w:val="single" w:color="2D6BE4" w:sz="1"/>
              <w:right w:val="single" w:color="2D6BE4" w:sz="1"/>
            </w:tcBorders>
            <w:shd w:fill="1A2B6B" w:val="clear"/>
            <w:tcMar>
              <w:top w:type="dxa" w:w="80"/>
              <w:left w:type="dxa" w:w="120"/>
              <w:bottom w:type="dxa" w:w="80"/>
              <w:right w:type="dxa" w:w="120"/>
            </w:tcMar>
            <w:vAlign w:val="center"/>
          </w:tcPr>
          <w:p>
            <w:pPr>
              <w:spacing w:after="0" w:before="0"/>
              <w:jc w:val="center"/>
            </w:pPr>
            <w:r>
              <w:rPr>
                <w:rFonts w:ascii="Arial" w:cs="Arial" w:eastAsia="Arial" w:hAnsi="Arial"/>
                <w:b/>
                <w:bCs/>
                <w:color w:val="FFFFFF"/>
                <w:sz w:val="19"/>
                <w:szCs w:val="19"/>
              </w:rPr>
              <w:t xml:space="preserve">Layer</w:t>
            </w:r>
          </w:p>
        </w:tc>
        <w:tc>
          <w:tcPr>
            <w:tcW w:type="dxa" w:w="2340"/>
            <w:tcBorders>
              <w:top w:val="single" w:color="2D6BE4" w:sz="1"/>
              <w:left w:val="single" w:color="2D6BE4" w:sz="1"/>
              <w:bottom w:val="single" w:color="2D6BE4" w:sz="1"/>
              <w:right w:val="single" w:color="2D6BE4" w:sz="1"/>
            </w:tcBorders>
            <w:shd w:fill="1A2B6B" w:val="clear"/>
            <w:tcMar>
              <w:top w:type="dxa" w:w="80"/>
              <w:left w:type="dxa" w:w="120"/>
              <w:bottom w:type="dxa" w:w="80"/>
              <w:right w:type="dxa" w:w="120"/>
            </w:tcMar>
            <w:vAlign w:val="center"/>
          </w:tcPr>
          <w:p>
            <w:pPr>
              <w:spacing w:after="0" w:before="0"/>
              <w:jc w:val="center"/>
            </w:pPr>
            <w:r>
              <w:rPr>
                <w:rFonts w:ascii="Arial" w:cs="Arial" w:eastAsia="Arial" w:hAnsi="Arial"/>
                <w:b/>
                <w:bCs/>
                <w:color w:val="FFFFFF"/>
                <w:sz w:val="19"/>
                <w:szCs w:val="19"/>
              </w:rPr>
              <w:t xml:space="preserve">Mechanism</w:t>
            </w:r>
          </w:p>
        </w:tc>
        <w:tc>
          <w:tcPr>
            <w:tcW w:type="dxa" w:w="2340"/>
            <w:tcBorders>
              <w:top w:val="single" w:color="2D6BE4" w:sz="1"/>
              <w:left w:val="single" w:color="2D6BE4" w:sz="1"/>
              <w:bottom w:val="single" w:color="2D6BE4" w:sz="1"/>
              <w:right w:val="single" w:color="2D6BE4" w:sz="1"/>
            </w:tcBorders>
            <w:shd w:fill="1A2B6B" w:val="clear"/>
            <w:tcMar>
              <w:top w:type="dxa" w:w="80"/>
              <w:left w:type="dxa" w:w="120"/>
              <w:bottom w:type="dxa" w:w="80"/>
              <w:right w:type="dxa" w:w="120"/>
            </w:tcMar>
            <w:vAlign w:val="center"/>
          </w:tcPr>
          <w:p>
            <w:pPr>
              <w:spacing w:after="0" w:before="0"/>
              <w:jc w:val="center"/>
            </w:pPr>
            <w:r>
              <w:rPr>
                <w:rFonts w:ascii="Arial" w:cs="Arial" w:eastAsia="Arial" w:hAnsi="Arial"/>
                <w:b/>
                <w:bCs/>
                <w:color w:val="FFFFFF"/>
                <w:sz w:val="19"/>
                <w:szCs w:val="19"/>
              </w:rPr>
              <w:t xml:space="preserve">Rate</w:t>
            </w:r>
          </w:p>
        </w:tc>
        <w:tc>
          <w:tcPr>
            <w:tcW w:type="dxa" w:w="2340"/>
            <w:tcBorders>
              <w:top w:val="single" w:color="2D6BE4" w:sz="1"/>
              <w:left w:val="single" w:color="2D6BE4" w:sz="1"/>
              <w:bottom w:val="single" w:color="2D6BE4" w:sz="1"/>
              <w:right w:val="single" w:color="2D6BE4" w:sz="1"/>
            </w:tcBorders>
            <w:shd w:fill="1A2B6B" w:val="clear"/>
            <w:tcMar>
              <w:top w:type="dxa" w:w="80"/>
              <w:left w:type="dxa" w:w="120"/>
              <w:bottom w:type="dxa" w:w="80"/>
              <w:right w:type="dxa" w:w="120"/>
            </w:tcMar>
            <w:vAlign w:val="center"/>
          </w:tcPr>
          <w:p>
            <w:pPr>
              <w:spacing w:after="0" w:before="0"/>
              <w:jc w:val="center"/>
            </w:pPr>
            <w:r>
              <w:rPr>
                <w:rFonts w:ascii="Arial" w:cs="Arial" w:eastAsia="Arial" w:hAnsi="Arial"/>
                <w:b/>
                <w:bCs/>
                <w:color w:val="FFFFFF"/>
                <w:sz w:val="19"/>
                <w:szCs w:val="19"/>
              </w:rPr>
              <w:t xml:space="preserve">Activation Stage</w:t>
            </w:r>
          </w:p>
        </w:tc>
      </w:tr>
      <w:tr>
        <w:tc>
          <w:tcPr>
            <w:tcW w:type="dxa" w:w="234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L1</w:t>
            </w:r>
          </w:p>
        </w:tc>
        <w:tc>
          <w:tcPr>
            <w:tcW w:type="dxa" w:w="234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Transaction Fee Burn</w:t>
            </w:r>
          </w:p>
        </w:tc>
        <w:tc>
          <w:tcPr>
            <w:tcW w:type="dxa" w:w="234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20% of all on-chain fees</w:t>
            </w:r>
          </w:p>
        </w:tc>
        <w:tc>
          <w:tcPr>
            <w:tcW w:type="dxa" w:w="234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Day 1 — always active</w:t>
            </w:r>
          </w:p>
        </w:tc>
      </w:tr>
      <w:tr>
        <w:tc>
          <w:tcPr>
            <w:tcW w:type="dxa" w:w="234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L2</w:t>
            </w:r>
          </w:p>
        </w:tc>
        <w:tc>
          <w:tcPr>
            <w:tcW w:type="dxa" w:w="234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Quarterly Buyback &amp; Burn</w:t>
            </w:r>
          </w:p>
        </w:tc>
        <w:tc>
          <w:tcPr>
            <w:tcW w:type="dxa" w:w="234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5% of gross platform revenue</w:t>
            </w:r>
          </w:p>
        </w:tc>
        <w:tc>
          <w:tcPr>
            <w:tcW w:type="dxa" w:w="234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Quarter 1 onwards</w:t>
            </w:r>
          </w:p>
        </w:tc>
      </w:tr>
      <w:tr>
        <w:tc>
          <w:tcPr>
            <w:tcW w:type="dxa" w:w="234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L3</w:t>
            </w:r>
          </w:p>
        </w:tc>
        <w:tc>
          <w:tcPr>
            <w:tcW w:type="dxa" w:w="234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Marketplace Burn</w:t>
            </w:r>
          </w:p>
        </w:tc>
        <w:tc>
          <w:tcPr>
            <w:tcW w:type="dxa" w:w="234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10% of all skill/marketplace purchases in AIONE</w:t>
            </w:r>
          </w:p>
        </w:tc>
        <w:tc>
          <w:tcPr>
            <w:tcW w:type="dxa" w:w="234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Phase 2 (Q4 2026)</w:t>
            </w:r>
          </w:p>
        </w:tc>
      </w:tr>
      <w:tr>
        <w:tc>
          <w:tcPr>
            <w:tcW w:type="dxa" w:w="234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L4</w:t>
            </w:r>
          </w:p>
        </w:tc>
        <w:tc>
          <w:tcPr>
            <w:tcW w:type="dxa" w:w="234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Expired Reward Burn</w:t>
            </w:r>
          </w:p>
        </w:tc>
        <w:tc>
          <w:tcPr>
            <w:tcW w:type="dxa" w:w="234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Unclaimed mining rewards after 365 days</w:t>
            </w:r>
          </w:p>
        </w:tc>
        <w:tc>
          <w:tcPr>
            <w:tcW w:type="dxa" w:w="234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Phase 1 (Q3 2026)</w:t>
            </w:r>
          </w:p>
        </w:tc>
      </w:tr>
      <w:tr>
        <w:tc>
          <w:tcPr>
            <w:tcW w:type="dxa" w:w="234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L5</w:t>
            </w:r>
          </w:p>
        </w:tc>
        <w:tc>
          <w:tcPr>
            <w:tcW w:type="dxa" w:w="234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Slashing Burns</w:t>
            </w:r>
          </w:p>
        </w:tc>
        <w:tc>
          <w:tcPr>
            <w:tcW w:type="dxa" w:w="234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100% of slashed validator stake → burn</w:t>
            </w:r>
          </w:p>
        </w:tc>
        <w:tc>
          <w:tcPr>
            <w:tcW w:type="dxa" w:w="234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Phase 1 onward</w:t>
            </w:r>
          </w:p>
        </w:tc>
      </w:tr>
      <w:tr>
        <w:tc>
          <w:tcPr>
            <w:tcW w:type="dxa" w:w="234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L6</w:t>
            </w:r>
          </w:p>
        </w:tc>
        <w:tc>
          <w:tcPr>
            <w:tcW w:type="dxa" w:w="234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AMI Debt Retirement Burn</w:t>
            </w:r>
          </w:p>
        </w:tc>
        <w:tc>
          <w:tcPr>
            <w:tcW w:type="dxa" w:w="234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When MDC fully repaid, 10% of total CB → burn</w:t>
            </w:r>
          </w:p>
        </w:tc>
        <w:tc>
          <w:tcPr>
            <w:tcW w:type="dxa" w:w="234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Phase 2 onward</w:t>
            </w:r>
          </w:p>
        </w:tc>
      </w:tr>
      <w:tr>
        <w:tc>
          <w:tcPr>
            <w:tcW w:type="dxa" w:w="234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L7</w:t>
            </w:r>
          </w:p>
        </w:tc>
        <w:tc>
          <w:tcPr>
            <w:tcW w:type="dxa" w:w="234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Halving Effect</w:t>
            </w:r>
          </w:p>
        </w:tc>
        <w:tc>
          <w:tcPr>
            <w:tcW w:type="dxa" w:w="234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−50% per-CU emission every 24 months (4 halvings)</w:t>
            </w:r>
          </w:p>
        </w:tc>
        <w:tc>
          <w:tcPr>
            <w:tcW w:type="dxa" w:w="234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Programmatic — immutable</w:t>
            </w:r>
          </w:p>
        </w:tc>
      </w:tr>
    </w:tbl>
    <w:p>
      <w:r>
        <w:rPr>
          <w:sz w:val="20"/>
          <w:szCs w:val="20"/>
        </w:rPr>
        <w:t xml:space="preserve"/>
      </w:r>
    </w:p>
    <w:p>
      <w:pPr>
        <w:pStyle w:val="Heading2"/>
        <w:spacing w:after="120" w:before="320"/>
      </w:pPr>
      <w:r>
        <w:rPr>
          <w:rFonts w:ascii="Arial" w:cs="Arial" w:eastAsia="Arial" w:hAnsi="Arial"/>
          <w:b/>
          <w:bCs/>
          <w:color w:val="1A2B6B"/>
          <w:sz w:val="26"/>
          <w:szCs w:val="26"/>
        </w:rPr>
        <w:t xml:space="preserve">10.2  The Complete Value Flywheel</w:t>
      </w:r>
    </w:p>
    <w:p>
      <w:pPr>
        <w:spacing w:after="80" w:before="60"/>
      </w:pPr>
      <w:r>
        <w:rPr>
          <w:rFonts w:ascii="Arial" w:cs="Arial" w:eastAsia="Arial" w:hAnsi="Arial"/>
          <w:color w:val="0A0F1E"/>
          <w:sz w:val="22"/>
          <w:szCs w:val="22"/>
        </w:rPr>
        <w:t xml:space="preserve">The following closed loop describes how each growth signal reinforces every other:</w:t>
      </w:r>
    </w:p>
    <w:p>
      <w:r>
        <w:rPr>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860B" w:sz="1"/>
              <w:left w:val="single" w:color="B8860B" w:sz="1"/>
              <w:bottom w:val="single" w:color="B8860B" w:sz="1"/>
              <w:right w:val="single" w:color="B8860B" w:sz="1"/>
            </w:tcBorders>
            <w:shd w:fill="04111F" w:val="clear"/>
            <w:tcMar>
              <w:top w:type="dxa" w:w="160"/>
              <w:left w:type="dxa" w:w="240"/>
              <w:bottom w:type="dxa" w:w="160"/>
              <w:right w:type="dxa" w:w="240"/>
            </w:tcMar>
          </w:tcPr>
          <w:p>
            <w:pPr>
              <w:spacing w:after="60" w:before="0"/>
              <w:jc w:val="center"/>
            </w:pPr>
            <w:r>
              <w:rPr>
                <w:rFonts w:ascii="Arial" w:cs="Arial" w:eastAsia="Arial" w:hAnsi="Arial"/>
                <w:b/>
                <w:bCs/>
                <w:color w:val="F0C040"/>
                <w:sz w:val="22"/>
                <w:szCs w:val="22"/>
              </w:rPr>
              <w:t xml:space="preserve">THE AIONE DEFLATIONARY FLYWHEEL</w:t>
            </w:r>
          </w:p>
          <w:p>
            <w:pPr>
              <w:spacing w:after="16" w:before="0"/>
            </w:pPr>
            <w:r>
              <w:rPr>
                <w:rFonts w:ascii="Arial" w:cs="Arial" w:eastAsia="Arial" w:hAnsi="Arial"/>
                <w:color w:val="FFE080"/>
                <w:sz w:val="18"/>
                <w:szCs w:val="18"/>
              </w:rPr>
              <w:t xml:space="preserve">More subscribers  →  More subscription revenue  →  More buyback &amp; burn (L2)</w:t>
            </w:r>
          </w:p>
          <w:p>
            <w:pPr>
              <w:spacing w:after="16" w:before="0"/>
            </w:pPr>
            <w:r>
              <w:rPr>
                <w:rFonts w:ascii="Arial" w:cs="Arial" w:eastAsia="Arial" w:hAnsi="Arial"/>
                <w:color w:val="A0A0A0"/>
                <w:sz w:val="18"/>
                <w:szCs w:val="18"/>
              </w:rPr>
              <w:t xml:space="preserve">  ↓</w:t>
            </w:r>
          </w:p>
          <w:p>
            <w:pPr>
              <w:spacing w:after="16" w:before="0"/>
            </w:pPr>
            <w:r>
              <w:rPr>
                <w:rFonts w:ascii="Arial" w:cs="Arial" w:eastAsia="Arial" w:hAnsi="Arial"/>
                <w:color w:val="FFE080"/>
                <w:sz w:val="18"/>
                <w:szCs w:val="18"/>
              </w:rPr>
              <w:t xml:space="preserve">Supply reduced  →  Token price rises  →  100% cashback delivers fewer tokens per $</w:t>
            </w:r>
          </w:p>
          <w:p>
            <w:pPr>
              <w:spacing w:after="16" w:before="0"/>
            </w:pPr>
            <w:r>
              <w:rPr>
                <w:rFonts w:ascii="Arial" w:cs="Arial" w:eastAsia="Arial" w:hAnsi="Arial"/>
                <w:color w:val="A0A0A0"/>
                <w:sz w:val="18"/>
                <w:szCs w:val="18"/>
              </w:rPr>
              <w:t xml:space="preserve">  ↓</w:t>
            </w:r>
          </w:p>
          <w:p>
            <w:pPr>
              <w:spacing w:after="16" w:before="0"/>
            </w:pPr>
            <w:r>
              <w:rPr>
                <w:rFonts w:ascii="Arial" w:cs="Arial" w:eastAsia="Arial" w:hAnsi="Arial"/>
                <w:color w:val="FFE080"/>
                <w:sz w:val="18"/>
                <w:szCs w:val="18"/>
              </w:rPr>
              <w:t xml:space="preserve">Fewer tokens mined per $ spent  →  Emission structurally constrained  →  Scarcity deepens</w:t>
            </w:r>
          </w:p>
          <w:p>
            <w:pPr>
              <w:spacing w:after="16" w:before="0"/>
            </w:pPr>
            <w:r>
              <w:rPr>
                <w:rFonts w:ascii="Arial" w:cs="Arial" w:eastAsia="Arial" w:hAnsi="Arial"/>
                <w:color w:val="A0A0A0"/>
                <w:sz w:val="18"/>
                <w:szCs w:val="18"/>
              </w:rPr>
              <w:t xml:space="preserve">  ↓</w:t>
            </w:r>
          </w:p>
          <w:p>
            <w:pPr>
              <w:spacing w:after="16" w:before="0"/>
            </w:pPr>
            <w:r>
              <w:rPr>
                <w:rFonts w:ascii="Arial" w:cs="Arial" w:eastAsia="Arial" w:hAnsi="Arial"/>
                <w:color w:val="FFE080"/>
                <w:sz w:val="18"/>
                <w:szCs w:val="18"/>
              </w:rPr>
              <w:t xml:space="preserve">Higher AIONE price  →  Lock-up 2.0× CB becomes extremely valuable  →  Staking surge</w:t>
            </w:r>
          </w:p>
          <w:p>
            <w:pPr>
              <w:spacing w:after="16" w:before="0"/>
            </w:pPr>
            <w:r>
              <w:rPr>
                <w:rFonts w:ascii="Arial" w:cs="Arial" w:eastAsia="Arial" w:hAnsi="Arial"/>
                <w:color w:val="A0A0A0"/>
                <w:sz w:val="18"/>
                <w:szCs w:val="18"/>
              </w:rPr>
              <w:t xml:space="preserve">  ↓</w:t>
            </w:r>
          </w:p>
          <w:p>
            <w:pPr>
              <w:spacing w:after="16" w:before="0"/>
            </w:pPr>
            <w:r>
              <w:rPr>
                <w:rFonts w:ascii="Arial" w:cs="Arial" w:eastAsia="Arial" w:hAnsi="Arial"/>
                <w:color w:val="FFE080"/>
                <w:sz w:val="18"/>
                <w:szCs w:val="18"/>
              </w:rPr>
              <w:t xml:space="preserve">More staking  →  Less circulating supply  →  Price floor rises further</w:t>
            </w:r>
          </w:p>
          <w:p>
            <w:pPr>
              <w:spacing w:after="16" w:before="0"/>
            </w:pPr>
            <w:r>
              <w:rPr>
                <w:rFonts w:ascii="Arial" w:cs="Arial" w:eastAsia="Arial" w:hAnsi="Arial"/>
                <w:color w:val="A0A0A0"/>
                <w:sz w:val="18"/>
                <w:szCs w:val="18"/>
              </w:rPr>
              <w:t xml:space="preserve">  ↓</w:t>
            </w:r>
          </w:p>
          <w:p>
            <w:pPr>
              <w:spacing w:after="16" w:before="0"/>
            </w:pPr>
            <w:r>
              <w:rPr>
                <w:rFonts w:ascii="Arial" w:cs="Arial" w:eastAsia="Arial" w:hAnsi="Arial"/>
                <w:color w:val="FFE080"/>
                <w:sz w:val="18"/>
                <w:szCs w:val="18"/>
              </w:rPr>
              <w:t xml:space="preserve">Rising price  →  AIONE ecosystem valuation grows  →  More media/investor attention</w:t>
            </w:r>
          </w:p>
          <w:p>
            <w:pPr>
              <w:spacing w:after="16" w:before="0"/>
            </w:pPr>
            <w:r>
              <w:rPr>
                <w:rFonts w:ascii="Arial" w:cs="Arial" w:eastAsia="Arial" w:hAnsi="Arial"/>
                <w:color w:val="A0A0A0"/>
                <w:sz w:val="18"/>
                <w:szCs w:val="18"/>
              </w:rPr>
              <w:t xml:space="preserve">  ↓</w:t>
            </w:r>
          </w:p>
          <w:p>
            <w:pPr>
              <w:spacing w:after="0" w:before="0"/>
            </w:pPr>
            <w:r>
              <w:rPr>
                <w:rFonts w:ascii="Arial" w:cs="Arial" w:eastAsia="Arial" w:hAnsi="Arial"/>
                <w:b/>
                <w:bCs/>
                <w:color w:val="FFD700"/>
                <w:sz w:val="18"/>
                <w:szCs w:val="18"/>
              </w:rPr>
              <w:t xml:space="preserve">More attention  →  More subscribers  →  ↑ RESTART FLYWHEEL</w:t>
            </w:r>
          </w:p>
        </w:tc>
      </w:tr>
    </w:tbl>
    <w:p>
      <w:r>
        <w:rPr>
          <w:sz w:val="20"/>
          <w:szCs w:val="20"/>
        </w:rPr>
        <w:t xml:space="preserve"/>
      </w:r>
    </w:p>
    <w:p>
      <w:pPr>
        <w:pStyle w:val="Heading2"/>
        <w:spacing w:after="120" w:before="320"/>
      </w:pPr>
      <w:r>
        <w:rPr>
          <w:rFonts w:ascii="Arial" w:cs="Arial" w:eastAsia="Arial" w:hAnsi="Arial"/>
          <w:b/>
          <w:bCs/>
          <w:color w:val="1A2B6B"/>
          <w:sz w:val="26"/>
          <w:szCs w:val="26"/>
        </w:rPr>
        <w:t xml:space="preserve">10.3  Net Supply Projection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1560"/>
        <w:gridCol w:w="1560"/>
        <w:gridCol w:w="1560"/>
        <w:gridCol w:w="1560"/>
        <w:gridCol w:w="1560"/>
      </w:tblGrid>
      <w:tr>
        <w:tc>
          <w:tcPr>
            <w:tcW w:type="dxa" w:w="1560"/>
            <w:tcBorders>
              <w:top w:val="single" w:color="2D6BE4" w:sz="1"/>
              <w:left w:val="single" w:color="2D6BE4" w:sz="1"/>
              <w:bottom w:val="single" w:color="2D6BE4" w:sz="1"/>
              <w:right w:val="single" w:color="2D6BE4" w:sz="1"/>
            </w:tcBorders>
            <w:shd w:fill="1A2B6B" w:val="clear"/>
            <w:tcMar>
              <w:top w:type="dxa" w:w="80"/>
              <w:left w:type="dxa" w:w="120"/>
              <w:bottom w:type="dxa" w:w="80"/>
              <w:right w:type="dxa" w:w="120"/>
            </w:tcMar>
            <w:vAlign w:val="center"/>
          </w:tcPr>
          <w:p>
            <w:pPr>
              <w:spacing w:after="0" w:before="0"/>
              <w:jc w:val="center"/>
            </w:pPr>
            <w:r>
              <w:rPr>
                <w:rFonts w:ascii="Arial" w:cs="Arial" w:eastAsia="Arial" w:hAnsi="Arial"/>
                <w:b/>
                <w:bCs/>
                <w:color w:val="FFFFFF"/>
                <w:sz w:val="19"/>
                <w:szCs w:val="19"/>
              </w:rPr>
              <w:t xml:space="preserve">Year</w:t>
            </w:r>
          </w:p>
        </w:tc>
        <w:tc>
          <w:tcPr>
            <w:tcW w:type="dxa" w:w="1560"/>
            <w:tcBorders>
              <w:top w:val="single" w:color="2D6BE4" w:sz="1"/>
              <w:left w:val="single" w:color="2D6BE4" w:sz="1"/>
              <w:bottom w:val="single" w:color="2D6BE4" w:sz="1"/>
              <w:right w:val="single" w:color="2D6BE4" w:sz="1"/>
            </w:tcBorders>
            <w:shd w:fill="1A2B6B" w:val="clear"/>
            <w:tcMar>
              <w:top w:type="dxa" w:w="80"/>
              <w:left w:type="dxa" w:w="120"/>
              <w:bottom w:type="dxa" w:w="80"/>
              <w:right w:type="dxa" w:w="120"/>
            </w:tcMar>
            <w:vAlign w:val="center"/>
          </w:tcPr>
          <w:p>
            <w:pPr>
              <w:spacing w:after="0" w:before="0"/>
              <w:jc w:val="center"/>
            </w:pPr>
            <w:r>
              <w:rPr>
                <w:rFonts w:ascii="Arial" w:cs="Arial" w:eastAsia="Arial" w:hAnsi="Arial"/>
                <w:b/>
                <w:bCs/>
                <w:color w:val="FFFFFF"/>
                <w:sz w:val="19"/>
                <w:szCs w:val="19"/>
              </w:rPr>
              <w:t xml:space="preserve">Tokens Mined</w:t>
            </w:r>
          </w:p>
        </w:tc>
        <w:tc>
          <w:tcPr>
            <w:tcW w:type="dxa" w:w="1560"/>
            <w:tcBorders>
              <w:top w:val="single" w:color="2D6BE4" w:sz="1"/>
              <w:left w:val="single" w:color="2D6BE4" w:sz="1"/>
              <w:bottom w:val="single" w:color="2D6BE4" w:sz="1"/>
              <w:right w:val="single" w:color="2D6BE4" w:sz="1"/>
            </w:tcBorders>
            <w:shd w:fill="1A2B6B" w:val="clear"/>
            <w:tcMar>
              <w:top w:type="dxa" w:w="80"/>
              <w:left w:type="dxa" w:w="120"/>
              <w:bottom w:type="dxa" w:w="80"/>
              <w:right w:type="dxa" w:w="120"/>
            </w:tcMar>
            <w:vAlign w:val="center"/>
          </w:tcPr>
          <w:p>
            <w:pPr>
              <w:spacing w:after="0" w:before="0"/>
              <w:jc w:val="center"/>
            </w:pPr>
            <w:r>
              <w:rPr>
                <w:rFonts w:ascii="Arial" w:cs="Arial" w:eastAsia="Arial" w:hAnsi="Arial"/>
                <w:b/>
                <w:bCs/>
                <w:color w:val="FFFFFF"/>
                <w:sz w:val="19"/>
                <w:szCs w:val="19"/>
              </w:rPr>
              <w:t xml:space="preserve">Tokens Burned</w:t>
            </w:r>
          </w:p>
        </w:tc>
        <w:tc>
          <w:tcPr>
            <w:tcW w:type="dxa" w:w="1560"/>
            <w:tcBorders>
              <w:top w:val="single" w:color="2D6BE4" w:sz="1"/>
              <w:left w:val="single" w:color="2D6BE4" w:sz="1"/>
              <w:bottom w:val="single" w:color="2D6BE4" w:sz="1"/>
              <w:right w:val="single" w:color="2D6BE4" w:sz="1"/>
            </w:tcBorders>
            <w:shd w:fill="1A2B6B" w:val="clear"/>
            <w:tcMar>
              <w:top w:type="dxa" w:w="80"/>
              <w:left w:type="dxa" w:w="120"/>
              <w:bottom w:type="dxa" w:w="80"/>
              <w:right w:type="dxa" w:w="120"/>
            </w:tcMar>
            <w:vAlign w:val="center"/>
          </w:tcPr>
          <w:p>
            <w:pPr>
              <w:spacing w:after="0" w:before="0"/>
              <w:jc w:val="center"/>
            </w:pPr>
            <w:r>
              <w:rPr>
                <w:rFonts w:ascii="Arial" w:cs="Arial" w:eastAsia="Arial" w:hAnsi="Arial"/>
                <w:b/>
                <w:bCs/>
                <w:color w:val="FFFFFF"/>
                <w:sz w:val="19"/>
                <w:szCs w:val="19"/>
              </w:rPr>
              <w:t xml:space="preserve">Net Emission</w:t>
            </w:r>
          </w:p>
        </w:tc>
        <w:tc>
          <w:tcPr>
            <w:tcW w:type="dxa" w:w="1560"/>
            <w:tcBorders>
              <w:top w:val="single" w:color="2D6BE4" w:sz="1"/>
              <w:left w:val="single" w:color="2D6BE4" w:sz="1"/>
              <w:bottom w:val="single" w:color="2D6BE4" w:sz="1"/>
              <w:right w:val="single" w:color="2D6BE4" w:sz="1"/>
            </w:tcBorders>
            <w:shd w:fill="1A2B6B" w:val="clear"/>
            <w:tcMar>
              <w:top w:type="dxa" w:w="80"/>
              <w:left w:type="dxa" w:w="120"/>
              <w:bottom w:type="dxa" w:w="80"/>
              <w:right w:type="dxa" w:w="120"/>
            </w:tcMar>
            <w:vAlign w:val="center"/>
          </w:tcPr>
          <w:p>
            <w:pPr>
              <w:spacing w:after="0" w:before="0"/>
              <w:jc w:val="center"/>
            </w:pPr>
            <w:r>
              <w:rPr>
                <w:rFonts w:ascii="Arial" w:cs="Arial" w:eastAsia="Arial" w:hAnsi="Arial"/>
                <w:b/>
                <w:bCs/>
                <w:color w:val="FFFFFF"/>
                <w:sz w:val="19"/>
                <w:szCs w:val="19"/>
              </w:rPr>
              <w:t xml:space="preserve">Circulating Supply</w:t>
            </w:r>
          </w:p>
        </w:tc>
        <w:tc>
          <w:tcPr>
            <w:tcW w:type="dxa" w:w="1560"/>
            <w:tcBorders>
              <w:top w:val="single" w:color="2D6BE4" w:sz="1"/>
              <w:left w:val="single" w:color="2D6BE4" w:sz="1"/>
              <w:bottom w:val="single" w:color="2D6BE4" w:sz="1"/>
              <w:right w:val="single" w:color="2D6BE4" w:sz="1"/>
            </w:tcBorders>
            <w:shd w:fill="1A2B6B" w:val="clear"/>
            <w:tcMar>
              <w:top w:type="dxa" w:w="80"/>
              <w:left w:type="dxa" w:w="120"/>
              <w:bottom w:type="dxa" w:w="80"/>
              <w:right w:type="dxa" w:w="120"/>
            </w:tcMar>
            <w:vAlign w:val="center"/>
          </w:tcPr>
          <w:p>
            <w:pPr>
              <w:spacing w:after="0" w:before="0"/>
              <w:jc w:val="center"/>
            </w:pPr>
            <w:r>
              <w:rPr>
                <w:rFonts w:ascii="Arial" w:cs="Arial" w:eastAsia="Arial" w:hAnsi="Arial"/>
                <w:b/>
                <w:bCs/>
                <w:color w:val="FFFFFF"/>
                <w:sz w:val="19"/>
                <w:szCs w:val="19"/>
              </w:rPr>
              <w:t xml:space="preserve">Net Annual Δ</w:t>
            </w:r>
          </w:p>
        </w:tc>
      </w:tr>
      <w:tr>
        <w:tc>
          <w:tcPr>
            <w:tcW w:type="dxa" w:w="156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Year 1 (2026)</w:t>
            </w:r>
          </w:p>
        </w:tc>
        <w:tc>
          <w:tcPr>
            <w:tcW w:type="dxa" w:w="156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~50M</w:t>
            </w:r>
          </w:p>
        </w:tc>
        <w:tc>
          <w:tcPr>
            <w:tcW w:type="dxa" w:w="156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~5M</w:t>
            </w:r>
          </w:p>
        </w:tc>
        <w:tc>
          <w:tcPr>
            <w:tcW w:type="dxa" w:w="156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~45M</w:t>
            </w:r>
          </w:p>
        </w:tc>
        <w:tc>
          <w:tcPr>
            <w:tcW w:type="dxa" w:w="156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~50M</w:t>
            </w:r>
          </w:p>
        </w:tc>
        <w:tc>
          <w:tcPr>
            <w:tcW w:type="dxa" w:w="156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w:t>
            </w:r>
          </w:p>
        </w:tc>
      </w:tr>
      <w:tr>
        <w:tc>
          <w:tcPr>
            <w:tcW w:type="dxa" w:w="156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Year 2 (2027)</w:t>
            </w:r>
          </w:p>
        </w:tc>
        <w:tc>
          <w:tcPr>
            <w:tcW w:type="dxa" w:w="156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~80M</w:t>
            </w:r>
          </w:p>
        </w:tc>
        <w:tc>
          <w:tcPr>
            <w:tcW w:type="dxa" w:w="156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~20M</w:t>
            </w:r>
          </w:p>
        </w:tc>
        <w:tc>
          <w:tcPr>
            <w:tcW w:type="dxa" w:w="156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~60M</w:t>
            </w:r>
          </w:p>
        </w:tc>
        <w:tc>
          <w:tcPr>
            <w:tcW w:type="dxa" w:w="156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~110M</w:t>
            </w:r>
          </w:p>
        </w:tc>
        <w:tc>
          <w:tcPr>
            <w:tcW w:type="dxa" w:w="156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+43% growth</w:t>
            </w:r>
          </w:p>
        </w:tc>
      </w:tr>
      <w:tr>
        <w:tc>
          <w:tcPr>
            <w:tcW w:type="dxa" w:w="156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Year 3 (2028)</w:t>
            </w:r>
          </w:p>
        </w:tc>
        <w:tc>
          <w:tcPr>
            <w:tcW w:type="dxa" w:w="156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~60M (post-halving)</w:t>
            </w:r>
          </w:p>
        </w:tc>
        <w:tc>
          <w:tcPr>
            <w:tcW w:type="dxa" w:w="156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~35M</w:t>
            </w:r>
          </w:p>
        </w:tc>
        <w:tc>
          <w:tcPr>
            <w:tcW w:type="dxa" w:w="156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~25M</w:t>
            </w:r>
          </w:p>
        </w:tc>
        <w:tc>
          <w:tcPr>
            <w:tcW w:type="dxa" w:w="156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~135M</w:t>
            </w:r>
          </w:p>
        </w:tc>
        <w:tc>
          <w:tcPr>
            <w:tcW w:type="dxa" w:w="156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+19% (slowing)</w:t>
            </w:r>
          </w:p>
        </w:tc>
      </w:tr>
      <w:tr>
        <w:tc>
          <w:tcPr>
            <w:tcW w:type="dxa" w:w="156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Year 4 (2029)</w:t>
            </w:r>
          </w:p>
        </w:tc>
        <w:tc>
          <w:tcPr>
            <w:tcW w:type="dxa" w:w="156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~40M</w:t>
            </w:r>
          </w:p>
        </w:tc>
        <w:tc>
          <w:tcPr>
            <w:tcW w:type="dxa" w:w="156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~42M</w:t>
            </w:r>
          </w:p>
        </w:tc>
        <w:tc>
          <w:tcPr>
            <w:tcW w:type="dxa" w:w="156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-2M</w:t>
            </w:r>
          </w:p>
        </w:tc>
        <w:tc>
          <w:tcPr>
            <w:tcW w:type="dxa" w:w="156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~133M</w:t>
            </w:r>
          </w:p>
        </w:tc>
        <w:tc>
          <w:tcPr>
            <w:tcW w:type="dxa" w:w="156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Net deflationary</w:t>
            </w:r>
          </w:p>
        </w:tc>
      </w:tr>
      <w:tr>
        <w:tc>
          <w:tcPr>
            <w:tcW w:type="dxa" w:w="156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Year 5 (2030)</w:t>
            </w:r>
          </w:p>
        </w:tc>
        <w:tc>
          <w:tcPr>
            <w:tcW w:type="dxa" w:w="156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~25M (2nd halving)</w:t>
            </w:r>
          </w:p>
        </w:tc>
        <w:tc>
          <w:tcPr>
            <w:tcW w:type="dxa" w:w="156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~30M</w:t>
            </w:r>
          </w:p>
        </w:tc>
        <w:tc>
          <w:tcPr>
            <w:tcW w:type="dxa" w:w="156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-5M</w:t>
            </w:r>
          </w:p>
        </w:tc>
        <w:tc>
          <w:tcPr>
            <w:tcW w:type="dxa" w:w="156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~128M</w:t>
            </w:r>
          </w:p>
        </w:tc>
        <w:tc>
          <w:tcPr>
            <w:tcW w:type="dxa" w:w="156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-4% contraction</w:t>
            </w:r>
          </w:p>
        </w:tc>
      </w:tr>
      <w:tr>
        <w:tc>
          <w:tcPr>
            <w:tcW w:type="dxa" w:w="156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Year 6+ (2031+)</w:t>
            </w:r>
          </w:p>
        </w:tc>
        <w:tc>
          <w:tcPr>
            <w:tcW w:type="dxa" w:w="156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&lt;20M</w:t>
            </w:r>
          </w:p>
        </w:tc>
        <w:tc>
          <w:tcPr>
            <w:tcW w:type="dxa" w:w="156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30-40M/yr</w:t>
            </w:r>
          </w:p>
        </w:tc>
        <w:tc>
          <w:tcPr>
            <w:tcW w:type="dxa" w:w="156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-10M to -20M/yr</w:t>
            </w:r>
          </w:p>
        </w:tc>
        <w:tc>
          <w:tcPr>
            <w:tcW w:type="dxa" w:w="156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&lt;120M &amp; falling</w:t>
            </w:r>
          </w:p>
        </w:tc>
        <w:tc>
          <w:tcPr>
            <w:tcW w:type="dxa" w:w="156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Accelerating deflation</w:t>
            </w:r>
          </w:p>
        </w:tc>
      </w:tr>
    </w:tbl>
    <w:p>
      <w:r>
        <w:rPr>
          <w:sz w:val="20"/>
          <w:szCs w:val="20"/>
        </w:rPr>
        <w:t xml:space="preserve"/>
      </w:r>
    </w:p>
    <w:p>
      <w:pPr>
        <w:pStyle w:val="Heading1"/>
        <w:pBdr>
          <w:bottom w:val="single" w:color="2D6BE4" w:sz="8" w:space="4"/>
        </w:pBdr>
        <w:spacing w:after="200" w:before="480"/>
      </w:pPr>
      <w:r>
        <w:rPr>
          <w:rFonts w:ascii="Arial" w:cs="Arial" w:eastAsia="Arial" w:hAnsi="Arial"/>
          <w:b/>
          <w:bCs/>
          <w:color w:val="1A2B6B"/>
          <w:sz w:val="36"/>
          <w:szCs w:val="36"/>
        </w:rPr>
        <w:t xml:space="preserve">11. Token Distribution (v2.0)</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2D6BE4" w:sz="1"/>
              <w:left w:val="single" w:color="2D6BE4" w:sz="1"/>
              <w:bottom w:val="single" w:color="2D6BE4" w:sz="1"/>
              <w:right w:val="single" w:color="2D6BE4" w:sz="1"/>
            </w:tcBorders>
            <w:shd w:fill="1A2B6B" w:val="clear"/>
            <w:tcMar>
              <w:top w:type="dxa" w:w="80"/>
              <w:left w:type="dxa" w:w="120"/>
              <w:bottom w:type="dxa" w:w="80"/>
              <w:right w:type="dxa" w:w="120"/>
            </w:tcMar>
            <w:vAlign w:val="center"/>
          </w:tcPr>
          <w:p>
            <w:pPr>
              <w:spacing w:after="0" w:before="0"/>
              <w:jc w:val="center"/>
            </w:pPr>
            <w:r>
              <w:rPr>
                <w:rFonts w:ascii="Arial" w:cs="Arial" w:eastAsia="Arial" w:hAnsi="Arial"/>
                <w:b/>
                <w:bCs/>
                <w:color w:val="FFFFFF"/>
                <w:sz w:val="19"/>
                <w:szCs w:val="19"/>
              </w:rPr>
              <w:t xml:space="preserve">Category</w:t>
            </w:r>
          </w:p>
        </w:tc>
        <w:tc>
          <w:tcPr>
            <w:tcW w:type="dxa" w:w="2340"/>
            <w:tcBorders>
              <w:top w:val="single" w:color="2D6BE4" w:sz="1"/>
              <w:left w:val="single" w:color="2D6BE4" w:sz="1"/>
              <w:bottom w:val="single" w:color="2D6BE4" w:sz="1"/>
              <w:right w:val="single" w:color="2D6BE4" w:sz="1"/>
            </w:tcBorders>
            <w:shd w:fill="1A2B6B" w:val="clear"/>
            <w:tcMar>
              <w:top w:type="dxa" w:w="80"/>
              <w:left w:type="dxa" w:w="120"/>
              <w:bottom w:type="dxa" w:w="80"/>
              <w:right w:type="dxa" w:w="120"/>
            </w:tcMar>
            <w:vAlign w:val="center"/>
          </w:tcPr>
          <w:p>
            <w:pPr>
              <w:spacing w:after="0" w:before="0"/>
              <w:jc w:val="center"/>
            </w:pPr>
            <w:r>
              <w:rPr>
                <w:rFonts w:ascii="Arial" w:cs="Arial" w:eastAsia="Arial" w:hAnsi="Arial"/>
                <w:b/>
                <w:bCs/>
                <w:color w:val="FFFFFF"/>
                <w:sz w:val="19"/>
                <w:szCs w:val="19"/>
              </w:rPr>
              <w:t xml:space="preserve">Share</w:t>
            </w:r>
          </w:p>
        </w:tc>
        <w:tc>
          <w:tcPr>
            <w:tcW w:type="dxa" w:w="2340"/>
            <w:tcBorders>
              <w:top w:val="single" w:color="2D6BE4" w:sz="1"/>
              <w:left w:val="single" w:color="2D6BE4" w:sz="1"/>
              <w:bottom w:val="single" w:color="2D6BE4" w:sz="1"/>
              <w:right w:val="single" w:color="2D6BE4" w:sz="1"/>
            </w:tcBorders>
            <w:shd w:fill="1A2B6B" w:val="clear"/>
            <w:tcMar>
              <w:top w:type="dxa" w:w="80"/>
              <w:left w:type="dxa" w:w="120"/>
              <w:bottom w:type="dxa" w:w="80"/>
              <w:right w:type="dxa" w:w="120"/>
            </w:tcMar>
            <w:vAlign w:val="center"/>
          </w:tcPr>
          <w:p>
            <w:pPr>
              <w:spacing w:after="0" w:before="0"/>
              <w:jc w:val="center"/>
            </w:pPr>
            <w:r>
              <w:rPr>
                <w:rFonts w:ascii="Arial" w:cs="Arial" w:eastAsia="Arial" w:hAnsi="Arial"/>
                <w:b/>
                <w:bCs/>
                <w:color w:val="FFFFFF"/>
                <w:sz w:val="19"/>
                <w:szCs w:val="19"/>
              </w:rPr>
              <w:t xml:space="preserve">Tokens</w:t>
            </w:r>
          </w:p>
        </w:tc>
        <w:tc>
          <w:tcPr>
            <w:tcW w:type="dxa" w:w="2340"/>
            <w:tcBorders>
              <w:top w:val="single" w:color="2D6BE4" w:sz="1"/>
              <w:left w:val="single" w:color="2D6BE4" w:sz="1"/>
              <w:bottom w:val="single" w:color="2D6BE4" w:sz="1"/>
              <w:right w:val="single" w:color="2D6BE4" w:sz="1"/>
            </w:tcBorders>
            <w:shd w:fill="1A2B6B" w:val="clear"/>
            <w:tcMar>
              <w:top w:type="dxa" w:w="80"/>
              <w:left w:type="dxa" w:w="120"/>
              <w:bottom w:type="dxa" w:w="80"/>
              <w:right w:type="dxa" w:w="120"/>
            </w:tcMar>
            <w:vAlign w:val="center"/>
          </w:tcPr>
          <w:p>
            <w:pPr>
              <w:spacing w:after="0" w:before="0"/>
              <w:jc w:val="center"/>
            </w:pPr>
            <w:r>
              <w:rPr>
                <w:rFonts w:ascii="Arial" w:cs="Arial" w:eastAsia="Arial" w:hAnsi="Arial"/>
                <w:b/>
                <w:bCs/>
                <w:color w:val="FFFFFF"/>
                <w:sz w:val="19"/>
                <w:szCs w:val="19"/>
              </w:rPr>
              <w:t xml:space="preserve">Purpose / Vesting</w:t>
            </w:r>
          </w:p>
        </w:tc>
      </w:tr>
      <w:tr>
        <w:tc>
          <w:tcPr>
            <w:tcW w:type="dxa" w:w="234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NODE MINING POOL (Total)</w:t>
            </w:r>
          </w:p>
        </w:tc>
        <w:tc>
          <w:tcPr>
            <w:tcW w:type="dxa" w:w="234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70%</w:t>
            </w:r>
          </w:p>
        </w:tc>
        <w:tc>
          <w:tcPr>
            <w:tcW w:type="dxa" w:w="234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700,000,000</w:t>
            </w:r>
          </w:p>
        </w:tc>
        <w:tc>
          <w:tcPr>
            <w:tcW w:type="dxa" w:w="234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Emitted per PoU² over 8 years</w:t>
            </w:r>
          </w:p>
        </w:tc>
      </w:tr>
      <w:tr>
        <w:tc>
          <w:tcPr>
            <w:tcW w:type="dxa" w:w="234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 Subscription Cashback Mining</w:t>
            </w:r>
          </w:p>
        </w:tc>
        <w:tc>
          <w:tcPr>
            <w:tcW w:type="dxa" w:w="234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25%</w:t>
            </w:r>
          </w:p>
        </w:tc>
        <w:tc>
          <w:tcPr>
            <w:tcW w:type="dxa" w:w="234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250,000,000</w:t>
            </w:r>
          </w:p>
        </w:tc>
        <w:tc>
          <w:tcPr>
            <w:tcW w:type="dxa" w:w="234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100% CB protocol — dynamic issuance tied to VWAP</w:t>
            </w:r>
          </w:p>
        </w:tc>
      </w:tr>
      <w:tr>
        <w:tc>
          <w:tcPr>
            <w:tcW w:type="dxa" w:w="234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 API Usage Mining (PoU²)</w:t>
            </w:r>
          </w:p>
        </w:tc>
        <w:tc>
          <w:tcPr>
            <w:tcW w:type="dxa" w:w="234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35%</w:t>
            </w:r>
          </w:p>
        </w:tc>
        <w:tc>
          <w:tcPr>
            <w:tcW w:type="dxa" w:w="234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350,000,000</w:t>
            </w:r>
          </w:p>
        </w:tc>
        <w:tc>
          <w:tcPr>
            <w:tcW w:type="dxa" w:w="234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PoU² algorithm with SSF, DA factors; halving every 24 months</w:t>
            </w:r>
          </w:p>
        </w:tc>
      </w:tr>
      <w:tr>
        <w:tc>
          <w:tcPr>
            <w:tcW w:type="dxa" w:w="234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 Node Staking Rewards</w:t>
            </w:r>
          </w:p>
        </w:tc>
        <w:tc>
          <w:tcPr>
            <w:tcW w:type="dxa" w:w="234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10%</w:t>
            </w:r>
          </w:p>
        </w:tc>
        <w:tc>
          <w:tcPr>
            <w:tcW w:type="dxa" w:w="234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100,000,000</w:t>
            </w:r>
          </w:p>
        </w:tc>
        <w:tc>
          <w:tcPr>
            <w:tcW w:type="dxa" w:w="234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Distributed to registered node operators per SF tier</w:t>
            </w:r>
          </w:p>
        </w:tc>
      </w:tr>
      <w:tr>
        <w:tc>
          <w:tcPr>
            <w:tcW w:type="dxa" w:w="234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ADVANCE MINING RESERVE (AMI)</w:t>
            </w:r>
          </w:p>
        </w:tc>
        <w:tc>
          <w:tcPr>
            <w:tcW w:type="dxa" w:w="234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20%</w:t>
            </w:r>
          </w:p>
        </w:tc>
        <w:tc>
          <w:tcPr>
            <w:tcW w:type="dxa" w:w="234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200,000,000</w:t>
            </w:r>
          </w:p>
        </w:tc>
        <w:tc>
          <w:tcPr>
            <w:tcW w:type="dxa" w:w="234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FFDE debt pool — funds AMI for MDC holders; AMI buybacks retire supply</w:t>
            </w:r>
          </w:p>
        </w:tc>
      </w:tr>
      <w:tr>
        <w:tc>
          <w:tcPr>
            <w:tcW w:type="dxa" w:w="234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TEAM &amp; ECOSYSTEM (Total)</w:t>
            </w:r>
          </w:p>
        </w:tc>
        <w:tc>
          <w:tcPr>
            <w:tcW w:type="dxa" w:w="234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6%</w:t>
            </w:r>
          </w:p>
        </w:tc>
        <w:tc>
          <w:tcPr>
            <w:tcW w:type="dxa" w:w="234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60,000,000</w:t>
            </w:r>
          </w:p>
        </w:tc>
        <w:tc>
          <w:tcPr>
            <w:tcW w:type="dxa" w:w="234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Core team + DAO fund + marketing</w:t>
            </w:r>
          </w:p>
        </w:tc>
      </w:tr>
      <w:tr>
        <w:tc>
          <w:tcPr>
            <w:tcW w:type="dxa" w:w="234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 Core Team</w:t>
            </w:r>
          </w:p>
        </w:tc>
        <w:tc>
          <w:tcPr>
            <w:tcW w:type="dxa" w:w="234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3%</w:t>
            </w:r>
          </w:p>
        </w:tc>
        <w:tc>
          <w:tcPr>
            <w:tcW w:type="dxa" w:w="234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30,000,000</w:t>
            </w:r>
          </w:p>
        </w:tc>
        <w:tc>
          <w:tcPr>
            <w:tcW w:type="dxa" w:w="234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12-month cliff + 48-month linear vest (extended for alignment)</w:t>
            </w:r>
          </w:p>
        </w:tc>
      </w:tr>
      <w:tr>
        <w:tc>
          <w:tcPr>
            <w:tcW w:type="dxa" w:w="234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 Ecosystem / DAO Fund</w:t>
            </w:r>
          </w:p>
        </w:tc>
        <w:tc>
          <w:tcPr>
            <w:tcW w:type="dxa" w:w="234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2%</w:t>
            </w:r>
          </w:p>
        </w:tc>
        <w:tc>
          <w:tcPr>
            <w:tcW w:type="dxa" w:w="234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20,000,000</w:t>
            </w:r>
          </w:p>
        </w:tc>
        <w:tc>
          <w:tcPr>
            <w:tcW w:type="dxa" w:w="234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24-month linear, DAO-governed</w:t>
            </w:r>
          </w:p>
        </w:tc>
      </w:tr>
      <w:tr>
        <w:tc>
          <w:tcPr>
            <w:tcW w:type="dxa" w:w="234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 Marketing &amp; Community</w:t>
            </w:r>
          </w:p>
        </w:tc>
        <w:tc>
          <w:tcPr>
            <w:tcW w:type="dxa" w:w="234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1%</w:t>
            </w:r>
          </w:p>
        </w:tc>
        <w:tc>
          <w:tcPr>
            <w:tcW w:type="dxa" w:w="234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10,000,000</w:t>
            </w:r>
          </w:p>
        </w:tc>
        <w:tc>
          <w:tcPr>
            <w:tcW w:type="dxa" w:w="234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6-month cliff + 18-month linear vest</w:t>
            </w:r>
          </w:p>
        </w:tc>
      </w:tr>
      <w:tr>
        <w:tc>
          <w:tcPr>
            <w:tcW w:type="dxa" w:w="234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VC &amp; STRATEGIC (Total)</w:t>
            </w:r>
          </w:p>
        </w:tc>
        <w:tc>
          <w:tcPr>
            <w:tcW w:type="dxa" w:w="234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4%</w:t>
            </w:r>
          </w:p>
        </w:tc>
        <w:tc>
          <w:tcPr>
            <w:tcW w:type="dxa" w:w="234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40,000,000</w:t>
            </w:r>
          </w:p>
        </w:tc>
        <w:tc>
          <w:tcPr>
            <w:tcW w:type="dxa" w:w="234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Seed + Series A</w:t>
            </w:r>
          </w:p>
        </w:tc>
      </w:tr>
      <w:tr>
        <w:tc>
          <w:tcPr>
            <w:tcW w:type="dxa" w:w="234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 Seed Round</w:t>
            </w:r>
          </w:p>
        </w:tc>
        <w:tc>
          <w:tcPr>
            <w:tcW w:type="dxa" w:w="234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1.5%</w:t>
            </w:r>
          </w:p>
        </w:tc>
        <w:tc>
          <w:tcPr>
            <w:tcW w:type="dxa" w:w="234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15,000,000</w:t>
            </w:r>
          </w:p>
        </w:tc>
        <w:tc>
          <w:tcPr>
            <w:tcW w:type="dxa" w:w="234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6-month cliff + 18-month linear vest</w:t>
            </w:r>
          </w:p>
        </w:tc>
      </w:tr>
      <w:tr>
        <w:tc>
          <w:tcPr>
            <w:tcW w:type="dxa" w:w="234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 Series A</w:t>
            </w:r>
          </w:p>
        </w:tc>
        <w:tc>
          <w:tcPr>
            <w:tcW w:type="dxa" w:w="234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2.5%</w:t>
            </w:r>
          </w:p>
        </w:tc>
        <w:tc>
          <w:tcPr>
            <w:tcW w:type="dxa" w:w="234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25,000,000</w:t>
            </w:r>
          </w:p>
        </w:tc>
        <w:tc>
          <w:tcPr>
            <w:tcW w:type="dxa" w:w="234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3-month cliff + 12-month linear vest</w:t>
            </w:r>
          </w:p>
        </w:tc>
      </w:tr>
    </w:tbl>
    <w:p>
      <w:r>
        <w:rPr>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D6BE4" w:sz="1"/>
              <w:left w:val="single" w:color="2D6BE4" w:sz="1"/>
              <w:bottom w:val="single" w:color="2D6BE4" w:sz="1"/>
              <w:right w:val="single" w:color="2D6BE4" w:sz="1"/>
            </w:tcBorders>
            <w:shd w:fill="D1FAE5" w:val="clear"/>
            <w:tcMar>
              <w:top w:type="dxa" w:w="140"/>
              <w:left w:type="dxa" w:w="200"/>
              <w:bottom w:type="dxa" w:w="140"/>
              <w:right w:type="dxa" w:w="200"/>
            </w:tcMar>
          </w:tcPr>
          <w:p>
            <w:pPr>
              <w:spacing w:after="0" w:before="0"/>
            </w:pPr>
            <w:r>
              <w:rPr>
                <w:rFonts w:ascii="Arial" w:cs="Arial" w:eastAsia="Arial" w:hAnsi="Arial"/>
                <w:i/>
                <w:iCs/>
                <w:color w:val="065F46"/>
                <w:sz w:val="21"/>
                <w:szCs w:val="21"/>
              </w:rPr>
              <w:t xml:space="preserve">Key v2.0 Change: Team allocation reduced from 15% to 6% and VC from 5% to 4%. The freed 10% of supply is reallocated to the Advance Mining Reserve (AMI) — increasing the FFDE debt capacity and putting more tokens into the hands of productive users, not insiders.</w:t>
            </w:r>
          </w:p>
        </w:tc>
      </w:tr>
    </w:tbl>
    <w:p>
      <w:r>
        <w:rPr>
          <w:sz w:val="20"/>
          <w:szCs w:val="20"/>
        </w:rPr>
        <w:t xml:space="preserve"/>
      </w:r>
    </w:p>
    <w:p>
      <w:pPr>
        <w:pStyle w:val="Heading1"/>
        <w:pBdr>
          <w:bottom w:val="single" w:color="2D6BE4" w:sz="8" w:space="4"/>
        </w:pBdr>
        <w:spacing w:after="200" w:before="480"/>
      </w:pPr>
      <w:r>
        <w:rPr>
          <w:rFonts w:ascii="Arial" w:cs="Arial" w:eastAsia="Arial" w:hAnsi="Arial"/>
          <w:b/>
          <w:bCs/>
          <w:color w:val="1A2B6B"/>
          <w:sz w:val="36"/>
          <w:szCs w:val="36"/>
        </w:rPr>
        <w:t xml:space="preserve">12. Roadmap (v2.0 Updated)</w:t>
      </w:r>
    </w:p>
    <w:p>
      <w:pPr>
        <w:pStyle w:val="Heading2"/>
        <w:spacing w:after="120" w:before="320"/>
      </w:pPr>
      <w:r>
        <w:rPr>
          <w:rFonts w:ascii="Arial" w:cs="Arial" w:eastAsia="Arial" w:hAnsi="Arial"/>
          <w:b/>
          <w:bCs/>
          <w:color w:val="1A2B6B"/>
          <w:sz w:val="26"/>
          <w:szCs w:val="26"/>
        </w:rPr>
        <w:t xml:space="preserve">Phase 1 — Genesis (Q2–Q3 2026)</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2D6BE4" w:sz="1"/>
              <w:left w:val="single" w:color="2D6BE4" w:sz="1"/>
              <w:bottom w:val="single" w:color="2D6BE4" w:sz="1"/>
              <w:right w:val="single" w:color="2D6BE4" w:sz="1"/>
            </w:tcBorders>
            <w:shd w:fill="1A2B6B" w:val="clear"/>
            <w:tcMar>
              <w:top w:type="dxa" w:w="80"/>
              <w:left w:type="dxa" w:w="120"/>
              <w:bottom w:type="dxa" w:w="80"/>
              <w:right w:type="dxa" w:w="120"/>
            </w:tcMar>
            <w:vAlign w:val="center"/>
          </w:tcPr>
          <w:p>
            <w:pPr>
              <w:spacing w:after="0" w:before="0"/>
              <w:jc w:val="center"/>
            </w:pPr>
            <w:r>
              <w:rPr>
                <w:rFonts w:ascii="Arial" w:cs="Arial" w:eastAsia="Arial" w:hAnsi="Arial"/>
                <w:b/>
                <w:bCs/>
                <w:color w:val="FFFFFF"/>
                <w:sz w:val="19"/>
                <w:szCs w:val="19"/>
              </w:rPr>
              <w:t xml:space="preserve">Timeline</w:t>
            </w:r>
          </w:p>
        </w:tc>
        <w:tc>
          <w:tcPr>
            <w:tcW w:type="dxa" w:w="4680"/>
            <w:tcBorders>
              <w:top w:val="single" w:color="2D6BE4" w:sz="1"/>
              <w:left w:val="single" w:color="2D6BE4" w:sz="1"/>
              <w:bottom w:val="single" w:color="2D6BE4" w:sz="1"/>
              <w:right w:val="single" w:color="2D6BE4" w:sz="1"/>
            </w:tcBorders>
            <w:shd w:fill="1A2B6B" w:val="clear"/>
            <w:tcMar>
              <w:top w:type="dxa" w:w="80"/>
              <w:left w:type="dxa" w:w="120"/>
              <w:bottom w:type="dxa" w:w="80"/>
              <w:right w:type="dxa" w:w="120"/>
            </w:tcMar>
            <w:vAlign w:val="center"/>
          </w:tcPr>
          <w:p>
            <w:pPr>
              <w:spacing w:after="0" w:before="0"/>
              <w:jc w:val="center"/>
            </w:pPr>
            <w:r>
              <w:rPr>
                <w:rFonts w:ascii="Arial" w:cs="Arial" w:eastAsia="Arial" w:hAnsi="Arial"/>
                <w:b/>
                <w:bCs/>
                <w:color w:val="FFFFFF"/>
                <w:sz w:val="19"/>
                <w:szCs w:val="19"/>
              </w:rPr>
              <w:t xml:space="preserve">Milestone</w:t>
            </w:r>
          </w:p>
        </w:tc>
      </w:tr>
      <w:tr>
        <w:tc>
          <w:tcPr>
            <w:tcW w:type="dxa" w:w="468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Apr 2026</w:t>
            </w:r>
          </w:p>
        </w:tc>
        <w:tc>
          <w:tcPr>
            <w:tcW w:type="dxa" w:w="468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Smart contract v2 deployed on BNB Chain; audit by CertiK &amp; Hacken; AMI Reserve locked in multisig</w:t>
            </w:r>
          </w:p>
        </w:tc>
      </w:tr>
      <w:tr>
        <w:tc>
          <w:tcPr>
            <w:tcW w:type="dxa" w:w="468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Apr 2026</w:t>
            </w:r>
          </w:p>
        </w:tc>
        <w:tc>
          <w:tcPr>
            <w:tcW w:type="dxa" w:w="468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Seed Round closes — 15M AIONE to strategic investors at $20M FDV</w:t>
            </w:r>
          </w:p>
        </w:tc>
      </w:tr>
      <w:tr>
        <w:tc>
          <w:tcPr>
            <w:tcW w:type="dxa" w:w="468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May 2026</w:t>
            </w:r>
          </w:p>
        </w:tc>
        <w:tc>
          <w:tcPr>
            <w:tcW w:type="dxa" w:w="468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AIONE Platform v2.0 launches — multimodal interface; 100% Cashback Protocol activated</w:t>
            </w:r>
          </w:p>
        </w:tc>
      </w:tr>
      <w:tr>
        <w:tc>
          <w:tcPr>
            <w:tcW w:type="dxa" w:w="468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May 2026</w:t>
            </w:r>
          </w:p>
        </w:tc>
        <w:tc>
          <w:tcPr>
            <w:tcW w:type="dxa" w:w="468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MDC smart contracts live — quarterly, semi-annual, annual subscriptions issue on-chain MDCs</w:t>
            </w:r>
          </w:p>
        </w:tc>
      </w:tr>
      <w:tr>
        <w:tc>
          <w:tcPr>
            <w:tcW w:type="dxa" w:w="468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Jun 2026</w:t>
            </w:r>
          </w:p>
        </w:tc>
        <w:tc>
          <w:tcPr>
            <w:tcW w:type="dxa" w:w="468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PoU² mining engine activated — SSF, DA variables live; subscription-scaled emission ceiling</w:t>
            </w:r>
          </w:p>
        </w:tc>
      </w:tr>
      <w:tr>
        <w:tc>
          <w:tcPr>
            <w:tcW w:type="dxa" w:w="468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Jun 2026</w:t>
            </w:r>
          </w:p>
        </w:tc>
        <w:tc>
          <w:tcPr>
            <w:tcW w:type="dxa" w:w="468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Super Node pre-sale — 50 slots; Time-Weighted Staking contracts deployed</w:t>
            </w:r>
          </w:p>
        </w:tc>
      </w:tr>
      <w:tr>
        <w:tc>
          <w:tcPr>
            <w:tcW w:type="dxa" w:w="468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Jul 2026</w:t>
            </w:r>
          </w:p>
        </w:tc>
        <w:tc>
          <w:tcPr>
            <w:tcW w:type="dxa" w:w="468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DEX listing PancakeSwap V3 — $500K liquidity pool locked 12 months</w:t>
            </w:r>
          </w:p>
        </w:tc>
      </w:tr>
      <w:tr>
        <w:tc>
          <w:tcPr>
            <w:tcW w:type="dxa" w:w="468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Q3 2026</w:t>
            </w:r>
          </w:p>
        </w:tc>
        <w:tc>
          <w:tcPr>
            <w:tcW w:type="dxa" w:w="468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Target: 10,000 subscribers · $150K MRR · AMI utilisation &lt;20%</w:t>
            </w:r>
          </w:p>
        </w:tc>
      </w:tr>
    </w:tbl>
    <w:p>
      <w:r>
        <w:rPr>
          <w:sz w:val="20"/>
          <w:szCs w:val="20"/>
        </w:rPr>
        <w:t xml:space="preserve"/>
      </w:r>
    </w:p>
    <w:p>
      <w:pPr>
        <w:pStyle w:val="Heading2"/>
        <w:spacing w:after="120" w:before="320"/>
      </w:pPr>
      <w:r>
        <w:rPr>
          <w:rFonts w:ascii="Arial" w:cs="Arial" w:eastAsia="Arial" w:hAnsi="Arial"/>
          <w:b/>
          <w:bCs/>
          <w:color w:val="1A2B6B"/>
          <w:sz w:val="26"/>
          <w:szCs w:val="26"/>
        </w:rPr>
        <w:t xml:space="preserve">Phase 2 — Expansion (Q4 2026–Q2 2027)</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2D6BE4" w:sz="1"/>
              <w:left w:val="single" w:color="2D6BE4" w:sz="1"/>
              <w:bottom w:val="single" w:color="2D6BE4" w:sz="1"/>
              <w:right w:val="single" w:color="2D6BE4" w:sz="1"/>
            </w:tcBorders>
            <w:shd w:fill="1A2B6B" w:val="clear"/>
            <w:tcMar>
              <w:top w:type="dxa" w:w="80"/>
              <w:left w:type="dxa" w:w="120"/>
              <w:bottom w:type="dxa" w:w="80"/>
              <w:right w:type="dxa" w:w="120"/>
            </w:tcMar>
            <w:vAlign w:val="center"/>
          </w:tcPr>
          <w:p>
            <w:pPr>
              <w:spacing w:after="0" w:before="0"/>
              <w:jc w:val="center"/>
            </w:pPr>
            <w:r>
              <w:rPr>
                <w:rFonts w:ascii="Arial" w:cs="Arial" w:eastAsia="Arial" w:hAnsi="Arial"/>
                <w:b/>
                <w:bCs/>
                <w:color w:val="FFFFFF"/>
                <w:sz w:val="19"/>
                <w:szCs w:val="19"/>
              </w:rPr>
              <w:t xml:space="preserve">Timeline</w:t>
            </w:r>
          </w:p>
        </w:tc>
        <w:tc>
          <w:tcPr>
            <w:tcW w:type="dxa" w:w="4680"/>
            <w:tcBorders>
              <w:top w:val="single" w:color="2D6BE4" w:sz="1"/>
              <w:left w:val="single" w:color="2D6BE4" w:sz="1"/>
              <w:bottom w:val="single" w:color="2D6BE4" w:sz="1"/>
              <w:right w:val="single" w:color="2D6BE4" w:sz="1"/>
            </w:tcBorders>
            <w:shd w:fill="1A2B6B" w:val="clear"/>
            <w:tcMar>
              <w:top w:type="dxa" w:w="80"/>
              <w:left w:type="dxa" w:w="120"/>
              <w:bottom w:type="dxa" w:w="80"/>
              <w:right w:type="dxa" w:w="120"/>
            </w:tcMar>
            <w:vAlign w:val="center"/>
          </w:tcPr>
          <w:p>
            <w:pPr>
              <w:spacing w:after="0" w:before="0"/>
              <w:jc w:val="center"/>
            </w:pPr>
            <w:r>
              <w:rPr>
                <w:rFonts w:ascii="Arial" w:cs="Arial" w:eastAsia="Arial" w:hAnsi="Arial"/>
                <w:b/>
                <w:bCs/>
                <w:color w:val="FFFFFF"/>
                <w:sz w:val="19"/>
                <w:szCs w:val="19"/>
              </w:rPr>
              <w:t xml:space="preserve">Milestone</w:t>
            </w:r>
          </w:p>
        </w:tc>
      </w:tr>
      <w:tr>
        <w:tc>
          <w:tcPr>
            <w:tcW w:type="dxa" w:w="468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Q4 2026</w:t>
            </w:r>
          </w:p>
        </w:tc>
        <w:tc>
          <w:tcPr>
            <w:tcW w:type="dxa" w:w="468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First quarterly buyback &amp; burn executed — L2 deflationary layer activated</w:t>
            </w:r>
          </w:p>
        </w:tc>
      </w:tr>
      <w:tr>
        <w:tc>
          <w:tcPr>
            <w:tcW w:type="dxa" w:w="468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Q4 2026</w:t>
            </w:r>
          </w:p>
        </w:tc>
        <w:tc>
          <w:tcPr>
            <w:tcW w:type="dxa" w:w="468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Series A closes — 25M AIONE; exchange-connected VCs &amp; AI infrastructure partners</w:t>
            </w:r>
          </w:p>
        </w:tc>
      </w:tr>
      <w:tr>
        <w:tc>
          <w:tcPr>
            <w:tcW w:type="dxa" w:w="468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Q4 2026</w:t>
            </w:r>
          </w:p>
        </w:tc>
        <w:tc>
          <w:tcPr>
            <w:tcW w:type="dxa" w:w="468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Mobile apps (iOS &amp; Android) with MDC management dashboard</w:t>
            </w:r>
          </w:p>
        </w:tc>
      </w:tr>
      <w:tr>
        <w:tc>
          <w:tcPr>
            <w:tcW w:type="dxa" w:w="468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Q1 2027</w:t>
            </w:r>
          </w:p>
        </w:tc>
        <w:tc>
          <w:tcPr>
            <w:tcW w:type="dxa" w:w="468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Enterprise tier + API resale — MDC-E contracts with 2.5× DA bonus</w:t>
            </w:r>
          </w:p>
        </w:tc>
      </w:tr>
      <w:tr>
        <w:tc>
          <w:tcPr>
            <w:tcW w:type="dxa" w:w="468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Q1 2027</w:t>
            </w:r>
          </w:p>
        </w:tc>
        <w:tc>
          <w:tcPr>
            <w:tcW w:type="dxa" w:w="468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Cross-chain bridge live: Ethereum L2 (Arbitrum / Base) for DeFi integrations</w:t>
            </w:r>
          </w:p>
        </w:tc>
      </w:tr>
      <w:tr>
        <w:tc>
          <w:tcPr>
            <w:tcW w:type="dxa" w:w="468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Q2 2027</w:t>
            </w:r>
          </w:p>
        </w:tc>
        <w:tc>
          <w:tcPr>
            <w:tcW w:type="dxa" w:w="468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Apply for Binance Alpha and Binance Web3 Wallet listing</w:t>
            </w:r>
          </w:p>
        </w:tc>
      </w:tr>
      <w:tr>
        <w:tc>
          <w:tcPr>
            <w:tcW w:type="dxa" w:w="468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Q2 2027</w:t>
            </w:r>
          </w:p>
        </w:tc>
        <w:tc>
          <w:tcPr>
            <w:tcW w:type="dxa" w:w="468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Target: 100,000 subscribers · $2M MRR · First net-deflationary quarter (L2+L3 burns &gt; new emission)</w:t>
            </w:r>
          </w:p>
        </w:tc>
      </w:tr>
    </w:tbl>
    <w:p>
      <w:r>
        <w:rPr>
          <w:sz w:val="20"/>
          <w:szCs w:val="20"/>
        </w:rPr>
        <w:t xml:space="preserve"/>
      </w:r>
    </w:p>
    <w:p>
      <w:pPr>
        <w:pStyle w:val="Heading2"/>
        <w:spacing w:after="120" w:before="320"/>
      </w:pPr>
      <w:r>
        <w:rPr>
          <w:rFonts w:ascii="Arial" w:cs="Arial" w:eastAsia="Arial" w:hAnsi="Arial"/>
          <w:b/>
          <w:bCs/>
          <w:color w:val="1A2B6B"/>
          <w:sz w:val="26"/>
          <w:szCs w:val="26"/>
        </w:rPr>
        <w:t xml:space="preserve">Phase 3 — Scale (Q3 2027–Q2 2028)</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2D6BE4" w:sz="1"/>
              <w:left w:val="single" w:color="2D6BE4" w:sz="1"/>
              <w:bottom w:val="single" w:color="2D6BE4" w:sz="1"/>
              <w:right w:val="single" w:color="2D6BE4" w:sz="1"/>
            </w:tcBorders>
            <w:shd w:fill="1A2B6B" w:val="clear"/>
            <w:tcMar>
              <w:top w:type="dxa" w:w="80"/>
              <w:left w:type="dxa" w:w="120"/>
              <w:bottom w:type="dxa" w:w="80"/>
              <w:right w:type="dxa" w:w="120"/>
            </w:tcMar>
            <w:vAlign w:val="center"/>
          </w:tcPr>
          <w:p>
            <w:pPr>
              <w:spacing w:after="0" w:before="0"/>
              <w:jc w:val="center"/>
            </w:pPr>
            <w:r>
              <w:rPr>
                <w:rFonts w:ascii="Arial" w:cs="Arial" w:eastAsia="Arial" w:hAnsi="Arial"/>
                <w:b/>
                <w:bCs/>
                <w:color w:val="FFFFFF"/>
                <w:sz w:val="19"/>
                <w:szCs w:val="19"/>
              </w:rPr>
              <w:t xml:space="preserve">Timeline</w:t>
            </w:r>
          </w:p>
        </w:tc>
        <w:tc>
          <w:tcPr>
            <w:tcW w:type="dxa" w:w="4680"/>
            <w:tcBorders>
              <w:top w:val="single" w:color="2D6BE4" w:sz="1"/>
              <w:left w:val="single" w:color="2D6BE4" w:sz="1"/>
              <w:bottom w:val="single" w:color="2D6BE4" w:sz="1"/>
              <w:right w:val="single" w:color="2D6BE4" w:sz="1"/>
            </w:tcBorders>
            <w:shd w:fill="1A2B6B" w:val="clear"/>
            <w:tcMar>
              <w:top w:type="dxa" w:w="80"/>
              <w:left w:type="dxa" w:w="120"/>
              <w:bottom w:type="dxa" w:w="80"/>
              <w:right w:type="dxa" w:w="120"/>
            </w:tcMar>
            <w:vAlign w:val="center"/>
          </w:tcPr>
          <w:p>
            <w:pPr>
              <w:spacing w:after="0" w:before="0"/>
              <w:jc w:val="center"/>
            </w:pPr>
            <w:r>
              <w:rPr>
                <w:rFonts w:ascii="Arial" w:cs="Arial" w:eastAsia="Arial" w:hAnsi="Arial"/>
                <w:b/>
                <w:bCs/>
                <w:color w:val="FFFFFF"/>
                <w:sz w:val="19"/>
                <w:szCs w:val="19"/>
              </w:rPr>
              <w:t xml:space="preserve">Milestone</w:t>
            </w:r>
          </w:p>
        </w:tc>
      </w:tr>
      <w:tr>
        <w:tc>
          <w:tcPr>
            <w:tcW w:type="dxa" w:w="468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Q3 2027</w:t>
            </w:r>
          </w:p>
        </w:tc>
        <w:tc>
          <w:tcPr>
            <w:tcW w:type="dxa" w:w="468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Halving Event #1 — per-CU mining rate -50%; emission tightens; price appreciation accelerates</w:t>
            </w:r>
          </w:p>
        </w:tc>
      </w:tr>
      <w:tr>
        <w:tc>
          <w:tcPr>
            <w:tcW w:type="dxa" w:w="468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Q3 2027</w:t>
            </w:r>
          </w:p>
        </w:tc>
        <w:tc>
          <w:tcPr>
            <w:tcW w:type="dxa" w:w="468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FFDE debt ceiling governance vote — DAO sets AMI utilisation limit for Year 3</w:t>
            </w:r>
          </w:p>
        </w:tc>
      </w:tr>
      <w:tr>
        <w:tc>
          <w:tcPr>
            <w:tcW w:type="dxa" w:w="468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Q4 2027</w:t>
            </w:r>
          </w:p>
        </w:tc>
        <w:tc>
          <w:tcPr>
            <w:tcW w:type="dxa" w:w="468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Multi-chain: Solana SPL + Ethereum + BNB Chain</w:t>
            </w:r>
          </w:p>
        </w:tc>
      </w:tr>
      <w:tr>
        <w:tc>
          <w:tcPr>
            <w:tcW w:type="dxa" w:w="468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Q4 2027</w:t>
            </w:r>
          </w:p>
        </w:tc>
        <w:tc>
          <w:tcPr>
            <w:tcW w:type="dxa" w:w="468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OpenClaw DAO governance live — Gold/Super Nodes vote on emission and MMT parameters</w:t>
            </w:r>
          </w:p>
        </w:tc>
      </w:tr>
      <w:tr>
        <w:tc>
          <w:tcPr>
            <w:tcW w:type="dxa" w:w="468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Q1 2028</w:t>
            </w:r>
          </w:p>
        </w:tc>
        <w:tc>
          <w:tcPr>
            <w:tcW w:type="dxa" w:w="468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Binance Launchpool campaign (target 30-day staking event)</w:t>
            </w:r>
          </w:p>
        </w:tc>
      </w:tr>
      <w:tr>
        <w:tc>
          <w:tcPr>
            <w:tcW w:type="dxa" w:w="468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Q2 2028</w:t>
            </w:r>
          </w:p>
        </w:tc>
        <w:tc>
          <w:tcPr>
            <w:tcW w:type="dxa" w:w="468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Binance Spot listing — AIONE/USDT &amp; AIONE/BNB pairs</w:t>
            </w:r>
          </w:p>
        </w:tc>
      </w:tr>
      <w:tr>
        <w:tc>
          <w:tcPr>
            <w:tcW w:type="dxa" w:w="468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Q2 2028</w:t>
            </w:r>
          </w:p>
        </w:tc>
        <w:tc>
          <w:tcPr>
            <w:tcW w:type="dxa" w:w="468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Target: 500,000 subscribers · $10M MRR · Circulating supply begins contracting absolutely</w:t>
            </w:r>
          </w:p>
        </w:tc>
      </w:tr>
    </w:tbl>
    <w:p>
      <w:r>
        <w:rPr>
          <w:sz w:val="20"/>
          <w:szCs w:val="20"/>
        </w:rPr>
        <w:t xml:space="preserve"/>
      </w:r>
    </w:p>
    <w:p>
      <w:pPr>
        <w:pStyle w:val="Heading1"/>
        <w:pBdr>
          <w:bottom w:val="single" w:color="2D6BE4" w:sz="8" w:space="4"/>
        </w:pBdr>
        <w:spacing w:after="200" w:before="480"/>
      </w:pPr>
      <w:r>
        <w:rPr>
          <w:rFonts w:ascii="Arial" w:cs="Arial" w:eastAsia="Arial" w:hAnsi="Arial"/>
          <w:b/>
          <w:bCs/>
          <w:color w:val="1A2B6B"/>
          <w:sz w:val="36"/>
          <w:szCs w:val="36"/>
        </w:rPr>
        <w:t xml:space="preserve">13. Governance &amp; Risk Factors</w:t>
      </w:r>
    </w:p>
    <w:p>
      <w:pPr>
        <w:pStyle w:val="Heading2"/>
        <w:spacing w:after="120" w:before="320"/>
      </w:pPr>
      <w:r>
        <w:rPr>
          <w:rFonts w:ascii="Arial" w:cs="Arial" w:eastAsia="Arial" w:hAnsi="Arial"/>
          <w:b/>
          <w:bCs/>
          <w:color w:val="1A2B6B"/>
          <w:sz w:val="26"/>
          <w:szCs w:val="26"/>
        </w:rPr>
        <w:t xml:space="preserve">13.1  Governance Model</w:t>
      </w:r>
    </w:p>
    <w:p>
      <w:pPr>
        <w:spacing w:after="80" w:before="60"/>
      </w:pPr>
      <w:r>
        <w:rPr>
          <w:rFonts w:ascii="Arial" w:cs="Arial" w:eastAsia="Arial" w:hAnsi="Arial"/>
          <w:color w:val="0A0F1E"/>
          <w:sz w:val="22"/>
          <w:szCs w:val="22"/>
        </w:rPr>
        <w:t xml:space="preserve">AIONE is governed by a progressive decentralisation roadmap. MMT monetary parameters (D-coefficient range, AMI debt ceiling, buyback rate) require 66% supermajority from Gold+ Nodes. Mundell staking parameters (LockMultiplier schedule, SF tiers) require 51% majority. All approved proposals have a 72-hour timelock before execution.</w:t>
      </w:r>
    </w:p>
    <w:p>
      <w:pPr>
        <w:pStyle w:val="Heading2"/>
        <w:spacing w:after="120" w:before="320"/>
      </w:pPr>
      <w:r>
        <w:rPr>
          <w:rFonts w:ascii="Arial" w:cs="Arial" w:eastAsia="Arial" w:hAnsi="Arial"/>
          <w:b/>
          <w:bCs/>
          <w:color w:val="1A2B6B"/>
          <w:sz w:val="26"/>
          <w:szCs w:val="26"/>
        </w:rPr>
        <w:t xml:space="preserve">13.2  Key Risk Factors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2D6BE4" w:sz="1"/>
              <w:left w:val="single" w:color="2D6BE4" w:sz="1"/>
              <w:bottom w:val="single" w:color="2D6BE4" w:sz="1"/>
              <w:right w:val="single" w:color="2D6BE4" w:sz="1"/>
            </w:tcBorders>
            <w:shd w:fill="1A2B6B" w:val="clear"/>
            <w:tcMar>
              <w:top w:type="dxa" w:w="80"/>
              <w:left w:type="dxa" w:w="120"/>
              <w:bottom w:type="dxa" w:w="80"/>
              <w:right w:type="dxa" w:w="120"/>
            </w:tcMar>
            <w:vAlign w:val="center"/>
          </w:tcPr>
          <w:p>
            <w:pPr>
              <w:spacing w:after="0" w:before="0"/>
              <w:jc w:val="center"/>
            </w:pPr>
            <w:r>
              <w:rPr>
                <w:rFonts w:ascii="Arial" w:cs="Arial" w:eastAsia="Arial" w:hAnsi="Arial"/>
                <w:b/>
                <w:bCs/>
                <w:color w:val="FFFFFF"/>
                <w:sz w:val="19"/>
                <w:szCs w:val="19"/>
              </w:rPr>
              <w:t xml:space="preserve">Risk</w:t>
            </w:r>
          </w:p>
        </w:tc>
        <w:tc>
          <w:tcPr>
            <w:tcW w:type="dxa" w:w="4680"/>
            <w:tcBorders>
              <w:top w:val="single" w:color="2D6BE4" w:sz="1"/>
              <w:left w:val="single" w:color="2D6BE4" w:sz="1"/>
              <w:bottom w:val="single" w:color="2D6BE4" w:sz="1"/>
              <w:right w:val="single" w:color="2D6BE4" w:sz="1"/>
            </w:tcBorders>
            <w:shd w:fill="1A2B6B" w:val="clear"/>
            <w:tcMar>
              <w:top w:type="dxa" w:w="80"/>
              <w:left w:type="dxa" w:w="120"/>
              <w:bottom w:type="dxa" w:w="80"/>
              <w:right w:type="dxa" w:w="120"/>
            </w:tcMar>
            <w:vAlign w:val="center"/>
          </w:tcPr>
          <w:p>
            <w:pPr>
              <w:spacing w:after="0" w:before="0"/>
              <w:jc w:val="center"/>
            </w:pPr>
            <w:r>
              <w:rPr>
                <w:rFonts w:ascii="Arial" w:cs="Arial" w:eastAsia="Arial" w:hAnsi="Arial"/>
                <w:b/>
                <w:bCs/>
                <w:color w:val="FFFFFF"/>
                <w:sz w:val="19"/>
                <w:szCs w:val="19"/>
              </w:rPr>
              <w:t xml:space="preserve">Mitigation</w:t>
            </w:r>
          </w:p>
        </w:tc>
      </w:tr>
      <w:tr>
        <w:tc>
          <w:tcPr>
            <w:tcW w:type="dxa" w:w="468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Regulatory: token classified as security</w:t>
            </w:r>
          </w:p>
        </w:tc>
        <w:tc>
          <w:tcPr>
            <w:tcW w:type="dxa" w:w="468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Utility-only design; legal opinions pre-launch; US restrictions enforced</w:t>
            </w:r>
          </w:p>
        </w:tc>
      </w:tr>
      <w:tr>
        <w:tc>
          <w:tcPr>
            <w:tcW w:type="dxa" w:w="468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Token price collapse undermining 100% cashback</w:t>
            </w:r>
          </w:p>
        </w:tc>
        <w:tc>
          <w:tcPr>
            <w:tcW w:type="dxa" w:w="468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Buyback + halving + AMI reserve create multiple price floors; VWAP smoothing prevents manipulation</w:t>
            </w:r>
          </w:p>
        </w:tc>
      </w:tr>
      <w:tr>
        <w:tc>
          <w:tcPr>
            <w:tcW w:type="dxa" w:w="468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AMI pool exhaustion (FFDE over-issuance)</w:t>
            </w:r>
          </w:p>
        </w:tc>
        <w:tc>
          <w:tcPr>
            <w:tcW w:type="dxa" w:w="468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Hard debt ceiling = 3× trailing 90-day revenue; DAO governance pause trigger at 80% utilisation</w:t>
            </w:r>
          </w:p>
        </w:tc>
      </w:tr>
      <w:tr>
        <w:tc>
          <w:tcPr>
            <w:tcW w:type="dxa" w:w="468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MMT misapplication — inflation spiral</w:t>
            </w:r>
          </w:p>
        </w:tc>
        <w:tc>
          <w:tcPr>
            <w:tcW w:type="dxa" w:w="468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Productive Capacity Rule hard-coded: issuance strictly bounded by CU_actual; D-adjustment acts as automatic stabiliser</w:t>
            </w:r>
          </w:p>
        </w:tc>
      </w:tr>
      <w:tr>
        <w:tc>
          <w:tcPr>
            <w:tcW w:type="dxa" w:w="468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Staking cascade (mass unlock)</w:t>
            </w:r>
          </w:p>
        </w:tc>
        <w:tc>
          <w:tcPr>
            <w:tcW w:type="dxa" w:w="468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No single cliff dates; rolling lock periods with individual expiry; 365-day locks dominate by design</w:t>
            </w:r>
          </w:p>
        </w:tc>
      </w:tr>
      <w:tr>
        <w:tc>
          <w:tcPr>
            <w:tcW w:type="dxa" w:w="468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Sybil / farming attacks</w:t>
            </w:r>
          </w:p>
        </w:tc>
        <w:tc>
          <w:tcPr>
            <w:tcW w:type="dxa" w:w="468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Subscription financial barrier + velocity caps + 2-of-3 oracle quorum</w:t>
            </w:r>
          </w:p>
        </w:tc>
      </w:tr>
      <w:tr>
        <w:tc>
          <w:tcPr>
            <w:tcW w:type="dxa" w:w="468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Smart contract exploit</w:t>
            </w:r>
          </w:p>
        </w:tc>
        <w:tc>
          <w:tcPr>
            <w:tcW w:type="dxa" w:w="468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CertiK + Hacken dual audits; $1M bug bounty; AMI multisig separate from mining pool</w:t>
            </w:r>
          </w:p>
        </w:tc>
      </w:tr>
      <w:tr>
        <w:tc>
          <w:tcPr>
            <w:tcW w:type="dxa" w:w="468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Binance listing not achieved</w:t>
            </w:r>
          </w:p>
        </w:tc>
        <w:tc>
          <w:tcPr>
            <w:tcW w:type="dxa" w:w="4680"/>
            <w:tcBorders>
              <w:top w:val="single" w:color="E5E7EB" w:sz="1"/>
              <w:left w:val="single" w:color="E5E7EB" w:sz="1"/>
              <w:bottom w:val="single" w:color="E5E7EB" w:sz="1"/>
              <w:right w:val="single" w:color="E5E7EB" w:sz="1"/>
            </w:tcBorders>
            <w:shd w:fill="EFF3FB" w:val="clear"/>
            <w:tcMar>
              <w:top w:type="dxa" w:w="80"/>
              <w:left w:type="dxa" w:w="120"/>
              <w:bottom w:type="dxa" w:w="80"/>
              <w:right w:type="dxa" w:w="120"/>
            </w:tcMar>
          </w:tcPr>
          <w:p>
            <w:pPr>
              <w:spacing w:after="0" w:before="0"/>
            </w:pPr>
            <w:r>
              <w:rPr>
                <w:rFonts w:ascii="Arial" w:cs="Arial" w:eastAsia="Arial" w:hAnsi="Arial"/>
                <w:color w:val="0A0F1E"/>
                <w:sz w:val="19"/>
                <w:szCs w:val="19"/>
              </w:rPr>
              <w:t xml:space="preserve">DEX + CMC/CG liquidity independent; Launchpool preferred but not required for token utility</w:t>
            </w:r>
          </w:p>
        </w:tc>
      </w:tr>
    </w:tbl>
    <w:p>
      <w:r>
        <w:rPr>
          <w:sz w:val="20"/>
          <w:szCs w:val="20"/>
        </w:rPr>
        <w:t xml:space="preserve"/>
      </w:r>
    </w:p>
    <w:p>
      <w:pPr>
        <w:pStyle w:val="Heading1"/>
        <w:pBdr>
          <w:bottom w:val="single" w:color="2D6BE4" w:sz="8" w:space="4"/>
        </w:pBdr>
        <w:spacing w:after="200" w:before="480"/>
      </w:pPr>
      <w:r>
        <w:rPr>
          <w:rFonts w:ascii="Arial" w:cs="Arial" w:eastAsia="Arial" w:hAnsi="Arial"/>
          <w:b/>
          <w:bCs/>
          <w:color w:val="1A2B6B"/>
          <w:sz w:val="36"/>
          <w:szCs w:val="36"/>
        </w:rPr>
        <w:t xml:space="preserve">14. Conclusion — The AIONE Economic Thesis</w:t>
      </w:r>
    </w:p>
    <w:p>
      <w:pPr>
        <w:spacing w:after="80" w:before="60"/>
      </w:pPr>
      <w:r>
        <w:rPr>
          <w:rFonts w:ascii="Arial" w:cs="Arial" w:eastAsia="Arial" w:hAnsi="Arial"/>
          <w:color w:val="0A0F1E"/>
          <w:sz w:val="22"/>
          <w:szCs w:val="22"/>
        </w:rPr>
        <w:t xml:space="preserve">AIONE v2.0 is not merely a token economy built on top of an AI product. It is a fully articulated sovereign monetary system that draws on the most advanced macroeconomic frameworks available — MMT for issuance doctrine, the Mundell Triangle for capital flow management, and the Future-Forward Debt Economy for bridging present incentive and future revenue.</w:t>
      </w:r>
    </w:p>
    <w:p>
      <w:pPr>
        <w:spacing w:after="80" w:before="60"/>
      </w:pPr>
      <w:r>
        <w:rPr>
          <w:rFonts w:ascii="Arial" w:cs="Arial" w:eastAsia="Arial" w:hAnsi="Arial"/>
          <w:color w:val="0A0F1E"/>
          <w:sz w:val="22"/>
          <w:szCs w:val="22"/>
        </w:rPr>
        <w:t xml:space="preserve">The 100% Cashback Protocol eliminates the question "why would I subscribe?" — the answer is that subscribing is the single most yield-generating activity available in the AIONE ecosystem. The Subscription-Scaled Mining Capacity ensures that growth directly and transparently increases the network's productive money supply, not through arbitrary inflation but through verified economic activity. The Deflationary Flywheel ensures that as the system matures, every additional unit of growth translates into higher scarcity and higher per-token purchasing power.</w:t>
      </w:r>
    </w:p>
    <w:p>
      <w:pPr>
        <w:spacing w:after="80" w:before="60"/>
      </w:pPr>
      <w:r>
        <w:rPr>
          <w:rFonts w:ascii="Arial" w:cs="Arial" w:eastAsia="Arial" w:hAnsi="Arial"/>
          <w:color w:val="0A0F1E"/>
          <w:sz w:val="22"/>
          <w:szCs w:val="22"/>
        </w:rPr>
        <w:t xml:space="preserve">For subscribers, AIONE v2.0 offers the world's first AI access plan that costs nothing in the long run. For investors, it offers a deflationary asset backed by an enormous and growing productive economy. For node operators, it offers yield exceeding most DeFi products with the security of a protocol governed by real economic fundamentals.</w:t>
      </w:r>
    </w:p>
    <w:p>
      <w:r>
        <w:rPr>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D6BE4" w:sz="1"/>
              <w:left w:val="single" w:color="2D6BE4" w:sz="1"/>
              <w:bottom w:val="single" w:color="2D6BE4" w:sz="1"/>
              <w:right w:val="single" w:color="2D6BE4" w:sz="1"/>
            </w:tcBorders>
            <w:shd w:fill="EFF3FB" w:val="clear"/>
            <w:tcMar>
              <w:top w:type="dxa" w:w="140"/>
              <w:left w:type="dxa" w:w="200"/>
              <w:bottom w:type="dxa" w:w="140"/>
              <w:right w:type="dxa" w:w="200"/>
            </w:tcMar>
          </w:tcPr>
          <w:p>
            <w:pPr>
              <w:spacing w:after="0" w:before="0"/>
            </w:pPr>
            <w:r>
              <w:rPr>
                <w:rFonts w:ascii="Arial" w:cs="Arial" w:eastAsia="Arial" w:hAnsi="Arial"/>
                <w:i/>
                <w:iCs/>
                <w:color w:val="1A2B6B"/>
                <w:sz w:val="21"/>
                <w:szCs w:val="21"/>
              </w:rPr>
              <w:t xml:space="preserve">AIONE v2.0: Where every byte of intelligence you generate makes you richer — and the smarter the world gets, the scarcer your tokens become.</w:t>
            </w:r>
          </w:p>
        </w:tc>
      </w:tr>
    </w:tbl>
    <w:p>
      <w:r>
        <w:rPr>
          <w:sz w:val="20"/>
          <w:szCs w:val="20"/>
        </w:rPr>
        <w:t xml:space="preserve"/>
      </w:r>
    </w:p>
    <w:p>
      <w:pPr>
        <w:spacing w:after="40" w:before="120"/>
        <w:jc w:val="center"/>
      </w:pPr>
      <w:r>
        <w:rPr>
          <w:rFonts w:ascii="Arial" w:cs="Arial" w:eastAsia="Arial" w:hAnsi="Arial"/>
          <w:b/>
          <w:bCs/>
          <w:color w:val="6B7280"/>
          <w:sz w:val="20"/>
          <w:szCs w:val="20"/>
        </w:rPr>
        <w:t xml:space="preserve">AIONE Token — White Paper v2.0  ·  April 2026  ·  Confidential</w:t>
      </w:r>
    </w:p>
    <w:p>
      <w:pPr>
        <w:spacing w:after="0" w:before="0"/>
        <w:jc w:val="center"/>
      </w:pPr>
      <w:r>
        <w:rPr>
          <w:rFonts w:ascii="Arial" w:cs="Arial" w:eastAsia="Arial" w:hAnsi="Arial"/>
          <w:i/>
          <w:iCs/>
          <w:color w:val="6B7280"/>
          <w:sz w:val="19"/>
          <w:szCs w:val="19"/>
        </w:rPr>
        <w:t xml:space="preserve">© 2026 AIONE Foundation. All rights reserved.</w:t>
      </w:r>
    </w:p>
    <w:sectPr>
      <w:headerReference w:type="default" r:id="rId7"/>
      <w:footerReference w:type="default" r:id="rId8"/>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D6BE4" w:sz="4" w:space="4"/>
      </w:pBdr>
      <w:tabs>
        <w:tab w:val="right" w:pos="9026"/>
      </w:tabs>
      <w:spacing w:after="0" w:before="60"/>
    </w:pPr>
    <w:r>
      <w:rPr>
        <w:rFonts w:ascii="Arial" w:cs="Arial" w:eastAsia="Arial" w:hAnsi="Arial"/>
        <w:color w:val="6B7280"/>
        <w:sz w:val="16"/>
        <w:szCs w:val="16"/>
      </w:rPr>
      <w:t xml:space="preserve">© 2026 AIONE Foundation</w:t>
    </w:r>
    <w:r>
      <w:rPr>
        <w:rFonts w:ascii="Arial" w:cs="Arial" w:eastAsia="Arial" w:hAnsi="Arial"/>
        <w:sz w:val="16"/>
        <w:szCs w:val="16"/>
      </w:rPr>
      <w:t xml:space="preserve">	</w:t>
    </w:r>
    <w:r>
      <w:rPr>
        <w:rFonts w:ascii="Arial" w:cs="Arial" w:eastAsia="Arial" w:hAnsi="Arial"/>
        <w:color w:val="6B7280"/>
        <w:sz w:val="16"/>
        <w:szCs w:val="16"/>
      </w:rPr>
      <w:t xml:space="preserve">Page </w:t>
    </w:r>
    <w:r>
      <type>page</typ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D6BE4" w:sz="4" w:space="4"/>
      </w:pBdr>
      <w:tabs>
        <w:tab w:val="right" w:pos="9026"/>
      </w:tabs>
      <w:spacing w:after="60" w:before="0"/>
    </w:pPr>
    <w:r>
      <w:rPr>
        <w:rFonts w:ascii="Arial" w:cs="Arial" w:eastAsia="Arial" w:hAnsi="Arial"/>
        <w:b/>
        <w:bCs/>
        <w:color w:val="1A2B6B"/>
        <w:sz w:val="18"/>
        <w:szCs w:val="18"/>
      </w:rPr>
      <w:t xml:space="preserve">AIONE Token — White Paper v2.0</w:t>
    </w:r>
    <w:r>
      <w:rPr>
        <w:rFonts w:ascii="Arial" w:cs="Arial" w:eastAsia="Arial" w:hAnsi="Arial"/>
        <w:sz w:val="18"/>
        <w:szCs w:val="18"/>
      </w:rPr>
      <w:t xml:space="preserve">	</w:t>
    </w:r>
    <w:r>
      <w:rPr>
        <w:rFonts w:ascii="Arial" w:cs="Arial" w:eastAsia="Arial" w:hAnsi="Arial"/>
        <w:b/>
        <w:bCs/>
        <w:color w:val="991B1B"/>
        <w:sz w:val="18"/>
        <w:szCs w:val="18"/>
      </w:rPr>
      <w:t xml:space="preserve">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480"/>
      <w:outlineLvl w:val="0"/>
    </w:pPr>
    <w:rPr>
      <w:rFonts w:ascii="Arial" w:cs="Arial" w:eastAsia="Arial" w:hAnsi="Arial"/>
      <w:b/>
      <w:bCs/>
      <w:color w:val="1A2B6B"/>
      <w:sz w:val="36"/>
      <w:szCs w:val="36"/>
    </w:rPr>
  </w:style>
  <w:style w:type="paragraph" w:styleId="Heading2">
    <w:name w:val="Heading 2"/>
    <w:basedOn w:val="Normal"/>
    <w:next w:val="Normal"/>
    <w:qFormat/>
    <w:pPr>
      <w:spacing w:after="120" w:before="320"/>
      <w:outlineLvl w:val="1"/>
    </w:pPr>
    <w:rPr>
      <w:rFonts w:ascii="Arial" w:cs="Arial" w:eastAsia="Arial" w:hAnsi="Arial"/>
      <w:b/>
      <w:bCs/>
      <w:color w:val="1A2B6B"/>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2026-04-16T07:27:28.997Z</dcterms:created>
  <dcterms:modified xsi:type="dcterms:W3CDTF">2026-04-16T07:27:28.998Z</dcterms:modified>
</cp:coreProperties>
</file>

<file path=docProps/custom.xml><?xml version="1.0" encoding="utf-8"?>
<Properties xmlns="http://schemas.openxmlformats.org/officeDocument/2006/custom-properties" xmlns:vt="http://schemas.openxmlformats.org/officeDocument/2006/docPropsVTypes"/>
</file>